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江南污水厂二期3000m3/d污水处理厂启动调试达标及所需菌种物资采购项目的技术要  求</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240" w:after="240" w:line="640" w:lineRule="exact"/>
        <w:ind w:firstLine="643"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一、快速启动菌：数量约5000</w:t>
      </w:r>
      <w:r>
        <w:rPr>
          <w:rFonts w:hint="eastAsia" w:ascii="黑体" w:hAnsi="黑体" w:eastAsia="黑体" w:cs="黑体"/>
          <w:b/>
          <w:bCs/>
          <w:i w:val="0"/>
          <w:iCs w:val="0"/>
          <w:color w:val="000000"/>
          <w:sz w:val="32"/>
          <w:szCs w:val="32"/>
          <w:u w:val="none"/>
          <w:lang w:val="en-US" w:eastAsia="zh-CN"/>
        </w:rPr>
        <w:t>kg</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作用：针对精细化工业园区污水系统快速启动研发的微生物制剂，由微生物菌种、生物酶和营养物质配制而成，主要用于低浓度、低B/C比值的医药化工原料药及合成制药类工业园区污水处理生化系统的快速启动、重启、强化。</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2）有效活菌数：有效活菌数参照农用微生物菌剂（GB 20287-2006）标准，必须满足本类污水处理启动需求且(cfu)a ≥2亿/g(mL)</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700" w:firstLineChars="200"/>
        <w:jc w:val="left"/>
        <w:textAlignment w:val="auto"/>
        <w:rPr>
          <w:rFonts w:hint="eastAsia" w:ascii="仿宋_GB2312" w:hAnsi="仿宋_GB2312" w:eastAsia="仿宋_GB2312" w:cs="仿宋_GB2312"/>
          <w:i w:val="0"/>
          <w:iCs w:val="0"/>
          <w:caps w:val="0"/>
          <w:color w:val="auto"/>
          <w:spacing w:val="15"/>
          <w:sz w:val="32"/>
          <w:szCs w:val="32"/>
          <w:shd w:val="clear" w:fill="FFFFFF"/>
          <w:lang w:val="en-US" w:eastAsia="zh-CN"/>
        </w:rPr>
      </w:pPr>
      <w:r>
        <w:rPr>
          <w:rFonts w:hint="eastAsia" w:ascii="仿宋_GB2312" w:hAnsi="仿宋_GB2312" w:eastAsia="仿宋_GB2312" w:cs="仿宋_GB2312"/>
          <w:i w:val="0"/>
          <w:iCs w:val="0"/>
          <w:caps w:val="0"/>
          <w:color w:val="auto"/>
          <w:spacing w:val="15"/>
          <w:sz w:val="32"/>
          <w:szCs w:val="32"/>
          <w:shd w:val="clear" w:fill="FFFFFF"/>
          <w:lang w:val="en-US" w:eastAsia="zh-CN"/>
        </w:rPr>
        <w:t>3）</w:t>
      </w:r>
      <w:r>
        <w:rPr>
          <w:rFonts w:hint="eastAsia" w:ascii="仿宋_GB2312" w:hAnsi="仿宋_GB2312" w:eastAsia="仿宋_GB2312" w:cs="仿宋_GB2312"/>
          <w:i w:val="0"/>
          <w:iCs w:val="0"/>
          <w:caps w:val="0"/>
          <w:color w:val="auto"/>
          <w:spacing w:val="15"/>
          <w:sz w:val="32"/>
          <w:szCs w:val="32"/>
          <w:shd w:val="clear" w:fill="FFFFFF"/>
          <w:lang w:eastAsia="zh-CN"/>
        </w:rPr>
        <w:t>主要组成为：</w:t>
      </w:r>
      <w:r>
        <w:rPr>
          <w:rFonts w:hint="eastAsia" w:ascii="仿宋_GB2312" w:hAnsi="仿宋_GB2312" w:eastAsia="仿宋_GB2312" w:cs="仿宋_GB2312"/>
          <w:i w:val="0"/>
          <w:iCs w:val="0"/>
          <w:caps w:val="0"/>
          <w:color w:val="auto"/>
          <w:spacing w:val="15"/>
          <w:sz w:val="32"/>
          <w:szCs w:val="32"/>
          <w:shd w:val="clear" w:fill="FFFFFF"/>
        </w:rPr>
        <w:t>真菌</w:t>
      </w:r>
      <w:r>
        <w:rPr>
          <w:rFonts w:hint="eastAsia" w:ascii="仿宋_GB2312" w:hAnsi="仿宋_GB2312" w:eastAsia="仿宋_GB2312" w:cs="仿宋_GB2312"/>
          <w:i w:val="0"/>
          <w:iCs w:val="0"/>
          <w:caps w:val="0"/>
          <w:color w:val="auto"/>
          <w:spacing w:val="15"/>
          <w:sz w:val="32"/>
          <w:szCs w:val="32"/>
          <w:shd w:val="clear" w:fill="FFFFFF"/>
          <w:lang w:eastAsia="zh-CN"/>
        </w:rPr>
        <w:t>（</w:t>
      </w:r>
      <w:r>
        <w:rPr>
          <w:rFonts w:hint="eastAsia" w:ascii="仿宋_GB2312" w:hAnsi="仿宋_GB2312" w:eastAsia="仿宋_GB2312" w:cs="仿宋_GB2312"/>
          <w:i w:val="0"/>
          <w:iCs w:val="0"/>
          <w:caps w:val="0"/>
          <w:color w:val="auto"/>
          <w:spacing w:val="15"/>
          <w:sz w:val="32"/>
          <w:szCs w:val="32"/>
          <w:shd w:val="clear" w:fill="FFFFFF"/>
        </w:rPr>
        <w:t>霉菌和酵母菌</w:t>
      </w:r>
      <w:r>
        <w:rPr>
          <w:rFonts w:hint="eastAsia" w:ascii="仿宋_GB2312" w:hAnsi="仿宋_GB2312" w:eastAsia="仿宋_GB2312" w:cs="仿宋_GB2312"/>
          <w:i w:val="0"/>
          <w:iCs w:val="0"/>
          <w:caps w:val="0"/>
          <w:color w:val="auto"/>
          <w:spacing w:val="15"/>
          <w:sz w:val="32"/>
          <w:szCs w:val="32"/>
          <w:shd w:val="clear" w:fill="FFFFFF"/>
          <w:lang w:eastAsia="zh-CN"/>
        </w:rPr>
        <w:t>）、生物酶、营养物质，杂菌率≤</w:t>
      </w:r>
      <w:r>
        <w:rPr>
          <w:rFonts w:hint="eastAsia" w:ascii="仿宋_GB2312" w:hAnsi="仿宋_GB2312" w:eastAsia="仿宋_GB2312" w:cs="仿宋_GB2312"/>
          <w:i w:val="0"/>
          <w:iCs w:val="0"/>
          <w:caps w:val="0"/>
          <w:color w:val="auto"/>
          <w:spacing w:val="15"/>
          <w:sz w:val="32"/>
          <w:szCs w:val="32"/>
          <w:shd w:val="clear" w:fill="FFFFFF"/>
          <w:lang w:val="en-US" w:eastAsia="zh-CN"/>
        </w:rPr>
        <w:t>20~30%。</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pacing w:val="-5"/>
          <w:sz w:val="32"/>
          <w:szCs w:val="32"/>
        </w:rPr>
        <w:t>产品性状：固</w:t>
      </w:r>
      <w:r>
        <w:rPr>
          <w:rFonts w:hint="eastAsia" w:ascii="仿宋_GB2312" w:hAnsi="仿宋_GB2312" w:eastAsia="仿宋_GB2312" w:cs="仿宋_GB2312"/>
          <w:color w:val="auto"/>
          <w:spacing w:val="-5"/>
          <w:sz w:val="32"/>
          <w:szCs w:val="32"/>
          <w:lang w:eastAsia="zh-CN"/>
        </w:rPr>
        <w:t>态或液态</w:t>
      </w:r>
      <w:r>
        <w:rPr>
          <w:rFonts w:hint="eastAsia" w:ascii="仿宋_GB2312" w:hAnsi="仿宋_GB2312" w:eastAsia="仿宋_GB2312" w:cs="仿宋_GB2312"/>
          <w:color w:val="auto"/>
          <w:spacing w:val="-5"/>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right="0" w:firstLine="628" w:firstLineChars="200"/>
        <w:jc w:val="left"/>
        <w:textAlignment w:val="auto"/>
        <w:rPr>
          <w:rFonts w:hint="eastAsia" w:ascii="仿宋_GB2312" w:hAnsi="仿宋_GB2312" w:eastAsia="仿宋_GB2312" w:cs="仿宋_GB2312"/>
          <w:color w:val="auto"/>
          <w:spacing w:val="-3"/>
          <w:sz w:val="32"/>
          <w:szCs w:val="32"/>
          <w:lang w:val="en-US" w:eastAsia="zh-CN"/>
        </w:rPr>
      </w:pPr>
      <w:r>
        <w:rPr>
          <w:rFonts w:hint="eastAsia" w:ascii="仿宋_GB2312" w:hAnsi="仿宋_GB2312" w:eastAsia="仿宋_GB2312" w:cs="仿宋_GB2312"/>
          <w:color w:val="auto"/>
          <w:spacing w:val="-3"/>
          <w:sz w:val="32"/>
          <w:szCs w:val="32"/>
          <w:lang w:val="en-US" w:eastAsia="zh-CN"/>
        </w:rPr>
        <w:t>5）</w:t>
      </w:r>
      <w:r>
        <w:rPr>
          <w:rFonts w:hint="eastAsia" w:ascii="仿宋_GB2312" w:hAnsi="仿宋_GB2312" w:eastAsia="仿宋_GB2312" w:cs="仿宋_GB2312"/>
          <w:color w:val="auto"/>
          <w:spacing w:val="-3"/>
          <w:sz w:val="32"/>
          <w:szCs w:val="32"/>
        </w:rPr>
        <w:t>包装规格：塑料桶</w:t>
      </w:r>
      <w:r>
        <w:rPr>
          <w:rFonts w:hint="eastAsia" w:ascii="仿宋_GB2312" w:hAnsi="仿宋_GB2312" w:eastAsia="仿宋_GB2312" w:cs="仿宋_GB2312"/>
          <w:color w:val="auto"/>
          <w:spacing w:val="-3"/>
          <w:sz w:val="32"/>
          <w:szCs w:val="32"/>
          <w:lang w:val="en-US" w:eastAsia="zh-CN"/>
        </w:rPr>
        <w:t>或袋式</w:t>
      </w:r>
      <w:r>
        <w:rPr>
          <w:rFonts w:hint="eastAsia" w:ascii="仿宋_GB2312" w:hAnsi="仿宋_GB2312" w:eastAsia="仿宋_GB2312" w:cs="仿宋_GB2312"/>
          <w:color w:val="auto"/>
          <w:spacing w:val="-3"/>
          <w:sz w:val="32"/>
          <w:szCs w:val="32"/>
        </w:rPr>
        <w:t>包装</w:t>
      </w:r>
      <w:r>
        <w:rPr>
          <w:rFonts w:hint="eastAsia" w:ascii="仿宋_GB2312" w:hAnsi="仿宋_GB2312" w:eastAsia="仿宋_GB2312" w:cs="仿宋_GB2312"/>
          <w:color w:val="auto"/>
          <w:spacing w:val="-3"/>
          <w:sz w:val="32"/>
          <w:szCs w:val="32"/>
          <w:lang w:eastAsia="zh-CN"/>
        </w:rPr>
        <w:t>，</w:t>
      </w:r>
      <w:r>
        <w:rPr>
          <w:rFonts w:hint="eastAsia" w:ascii="仿宋_GB2312" w:hAnsi="仿宋_GB2312" w:eastAsia="仿宋_GB2312" w:cs="仿宋_GB2312"/>
          <w:color w:val="auto"/>
          <w:spacing w:val="-3"/>
          <w:sz w:val="32"/>
          <w:szCs w:val="32"/>
          <w:lang w:val="en-US" w:eastAsia="zh-CN"/>
        </w:rPr>
        <w:t>规格自定，包装自行回收。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20" w:firstLineChars="200"/>
        <w:jc w:val="left"/>
        <w:textAlignment w:val="auto"/>
        <w:rPr>
          <w:rFonts w:hint="eastAsia" w:ascii="仿宋_GB2312" w:hAnsi="仿宋_GB2312" w:eastAsia="仿宋_GB2312" w:cs="仿宋_GB2312"/>
          <w:color w:val="auto"/>
          <w:spacing w:val="-10"/>
          <w:sz w:val="32"/>
          <w:szCs w:val="32"/>
          <w:lang w:val="en-US" w:eastAsia="zh-CN"/>
        </w:rPr>
      </w:pPr>
      <w:r>
        <w:rPr>
          <w:rFonts w:hint="eastAsia" w:ascii="仿宋_GB2312" w:hAnsi="仿宋_GB2312" w:eastAsia="仿宋_GB2312" w:cs="仿宋_GB2312"/>
          <w:color w:val="auto"/>
          <w:spacing w:val="-5"/>
          <w:sz w:val="32"/>
          <w:szCs w:val="32"/>
          <w:lang w:val="en-US" w:eastAsia="zh-CN"/>
        </w:rPr>
        <w:t>6）</w:t>
      </w:r>
      <w:r>
        <w:rPr>
          <w:rFonts w:hint="eastAsia" w:ascii="仿宋_GB2312" w:hAnsi="仿宋_GB2312" w:eastAsia="仿宋_GB2312" w:cs="仿宋_GB2312"/>
          <w:color w:val="auto"/>
          <w:spacing w:val="-10"/>
          <w:sz w:val="32"/>
          <w:szCs w:val="32"/>
          <w:lang w:val="en-US" w:eastAsia="zh-CN"/>
        </w:rPr>
        <w:t>使用条件：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仿宋_GB2312" w:eastAsia="仿宋_GB2312" w:cs="仿宋_GB2312"/>
          <w:color w:val="auto"/>
          <w:spacing w:val="-10"/>
          <w:sz w:val="32"/>
          <w:szCs w:val="32"/>
          <w:lang w:val="en-US" w:eastAsia="zh-CN"/>
        </w:rPr>
      </w:pPr>
      <w:r>
        <w:rPr>
          <w:rFonts w:hint="eastAsia" w:ascii="仿宋_GB2312" w:hAnsi="仿宋_GB2312" w:eastAsia="仿宋_GB2312" w:cs="仿宋_GB2312"/>
          <w:color w:val="auto"/>
          <w:spacing w:val="-10"/>
          <w:sz w:val="32"/>
          <w:szCs w:val="32"/>
          <w:lang w:val="en-US" w:eastAsia="zh-CN"/>
        </w:rPr>
        <w:t>①本处理废水为精细化工园区综合废水；已建成污水处理工艺为预处理→综合调节→水解酸化→A</w:t>
      </w:r>
      <w:r>
        <w:rPr>
          <w:rFonts w:hint="eastAsia" w:ascii="仿宋_GB2312" w:hAnsi="仿宋_GB2312" w:eastAsia="仿宋_GB2312" w:cs="仿宋_GB2312"/>
          <w:color w:val="auto"/>
          <w:spacing w:val="-10"/>
          <w:sz w:val="32"/>
          <w:szCs w:val="32"/>
          <w:vertAlign w:val="superscript"/>
          <w:lang w:val="en-US" w:eastAsia="zh-CN"/>
        </w:rPr>
        <w:t>2</w:t>
      </w:r>
      <w:r>
        <w:rPr>
          <w:rFonts w:hint="eastAsia" w:ascii="仿宋_GB2312" w:hAnsi="仿宋_GB2312" w:eastAsia="仿宋_GB2312" w:cs="仿宋_GB2312"/>
          <w:color w:val="auto"/>
          <w:spacing w:val="-10"/>
          <w:sz w:val="32"/>
          <w:szCs w:val="32"/>
          <w:lang w:val="en-US" w:eastAsia="zh-CN"/>
        </w:rPr>
        <w:t>/O→MBBR→混凝→高效沉淀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仿宋_GB2312" w:eastAsia="仿宋_GB2312" w:cs="仿宋_GB2312"/>
          <w:color w:val="auto"/>
          <w:spacing w:val="-10"/>
          <w:sz w:val="32"/>
          <w:szCs w:val="32"/>
          <w:lang w:val="en-US" w:eastAsia="zh-CN"/>
        </w:rPr>
      </w:pPr>
      <w:r>
        <w:rPr>
          <w:rFonts w:hint="eastAsia" w:ascii="仿宋_GB2312" w:hAnsi="仿宋_GB2312" w:eastAsia="仿宋_GB2312" w:cs="仿宋_GB2312"/>
          <w:color w:val="auto"/>
          <w:spacing w:val="-10"/>
          <w:sz w:val="32"/>
          <w:szCs w:val="32"/>
          <w:lang w:val="en-US" w:eastAsia="zh-CN"/>
        </w:rPr>
        <w:t>②构筑物位置及有效容积</w:t>
      </w:r>
    </w:p>
    <w:p>
      <w:pPr>
        <w:pStyle w:val="2"/>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仿宋_GB2312" w:eastAsia="仿宋_GB2312" w:cs="仿宋_GB2312"/>
          <w:color w:val="auto"/>
          <w:spacing w:val="-10"/>
          <w:sz w:val="32"/>
          <w:szCs w:val="32"/>
          <w:lang w:val="en-US" w:eastAsia="zh-CN"/>
        </w:rPr>
      </w:pPr>
      <w:r>
        <w:rPr>
          <w:rFonts w:hint="eastAsia" w:ascii="仿宋_GB2312" w:hAnsi="仿宋_GB2312" w:eastAsia="仿宋_GB2312" w:cs="仿宋_GB2312"/>
          <w:color w:val="auto"/>
          <w:spacing w:val="-10"/>
          <w:sz w:val="32"/>
          <w:szCs w:val="32"/>
          <w:lang w:val="en-US" w:eastAsia="zh-CN"/>
        </w:rPr>
        <w:t>参照已建成构筑物，有兴趣的供应商应自行至现场调研工艺及构筑物、设备设施建成情况（调研踏勘费用由供应商自行承担），污水处理系统在使用菌种及提供技术服务后，如不能使出水达标，则承担全部责任。</w:t>
      </w:r>
    </w:p>
    <w:p>
      <w:pPr>
        <w:pStyle w:val="2"/>
        <w:keepNext w:val="0"/>
        <w:keepLines w:val="0"/>
        <w:pageBreakBefore w:val="0"/>
        <w:widowControl w:val="0"/>
        <w:kinsoku/>
        <w:wordWrap/>
        <w:overflowPunct/>
        <w:topLinePunct w:val="0"/>
        <w:autoSpaceDE/>
        <w:autoSpaceDN/>
        <w:bidi w:val="0"/>
        <w:adjustRightInd w:val="0"/>
        <w:snapToGrid w:val="0"/>
        <w:spacing w:line="520" w:lineRule="exact"/>
        <w:ind w:firstLine="62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pacing w:val="-5"/>
          <w:sz w:val="32"/>
          <w:szCs w:val="32"/>
          <w:lang w:val="en-US" w:eastAsia="zh-CN"/>
        </w:rPr>
        <w:t>③日处理原水水量：</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pacing w:val="-5"/>
          <w:sz w:val="32"/>
          <w:szCs w:val="32"/>
          <w:lang w:val="en-US" w:eastAsia="zh-CN"/>
        </w:rPr>
        <w:t>3000m</w:t>
      </w:r>
      <w:r>
        <w:rPr>
          <w:rFonts w:hint="eastAsia" w:ascii="仿宋_GB2312" w:hAnsi="仿宋_GB2312" w:eastAsia="仿宋_GB2312" w:cs="仿宋_GB2312"/>
          <w:color w:val="auto"/>
          <w:spacing w:val="-5"/>
          <w:sz w:val="32"/>
          <w:szCs w:val="32"/>
          <w:vertAlign w:val="superscript"/>
          <w:lang w:val="en-US" w:eastAsia="zh-CN"/>
        </w:rPr>
        <w:t>3</w:t>
      </w:r>
      <w:r>
        <w:rPr>
          <w:rFonts w:hint="eastAsia" w:ascii="仿宋_GB2312" w:hAnsi="仿宋_GB2312" w:eastAsia="仿宋_GB2312" w:cs="仿宋_GB2312"/>
          <w:color w:val="auto"/>
          <w:spacing w:val="-5"/>
          <w:sz w:val="32"/>
          <w:szCs w:val="32"/>
          <w:lang w:val="en-US" w:eastAsia="zh-CN"/>
        </w:rPr>
        <w:t>/d，</w:t>
      </w:r>
      <w:r>
        <w:rPr>
          <w:rFonts w:hint="eastAsia" w:ascii="仿宋_GB2312" w:hAnsi="仿宋_GB2312" w:eastAsia="仿宋_GB2312" w:cs="仿宋_GB2312"/>
          <w:color w:val="auto"/>
          <w:sz w:val="32"/>
          <w:szCs w:val="32"/>
          <w:lang w:val="en-US" w:eastAsia="zh-CN"/>
        </w:rPr>
        <w:t>COD平均值 &lt;500mg/L、 B/C&lt;0.3、总氮&lt;60 mg/L 、氨氮&lt;45mg/L 、总磷&lt;1mg/L、TDS&lt;3000mg/L</w:t>
      </w:r>
    </w:p>
    <w:p>
      <w:pPr>
        <w:pStyle w:val="2"/>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④出水必须达到下表要求：</w:t>
      </w:r>
    </w:p>
    <w:tbl>
      <w:tblPr>
        <w:tblStyle w:val="6"/>
        <w:tblW w:w="501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8"/>
        <w:gridCol w:w="2075"/>
        <w:gridCol w:w="1274"/>
        <w:gridCol w:w="607"/>
        <w:gridCol w:w="2479"/>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5000" w:type="pct"/>
            <w:gridSpan w:val="6"/>
            <w:tcBorders>
              <w:top w:val="single" w:color="auto" w:sz="4" w:space="0"/>
            </w:tcBorders>
            <w:noWrap w:val="0"/>
            <w:vAlign w:val="center"/>
          </w:tcPr>
          <w:p>
            <w:pPr>
              <w:spacing w:line="240" w:lineRule="auto"/>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基本控制项目最高允许排放浓度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367" w:type="pct"/>
            <w:noWrap w:val="0"/>
            <w:vAlign w:val="center"/>
          </w:tcPr>
          <w:p>
            <w:pPr>
              <w:pStyle w:val="2"/>
              <w:spacing w:line="240" w:lineRule="auto"/>
              <w:ind w:firstLine="0" w:firstLineChars="0"/>
              <w:rPr>
                <w:rFonts w:hint="eastAsia" w:ascii="仿宋" w:hAnsi="仿宋" w:eastAsia="仿宋" w:cs="仿宋"/>
                <w:b/>
                <w:bCs/>
                <w:sz w:val="24"/>
                <w:szCs w:val="24"/>
              </w:rPr>
            </w:pPr>
            <w:r>
              <w:rPr>
                <w:rFonts w:hint="eastAsia" w:ascii="仿宋" w:hAnsi="仿宋" w:eastAsia="仿宋" w:cs="仿宋"/>
                <w:b/>
                <w:bCs/>
                <w:sz w:val="24"/>
                <w:szCs w:val="24"/>
              </w:rPr>
              <w:t>序号</w:t>
            </w:r>
          </w:p>
        </w:tc>
        <w:tc>
          <w:tcPr>
            <w:tcW w:w="1213" w:type="pct"/>
            <w:noWrap w:val="0"/>
            <w:vAlign w:val="center"/>
          </w:tcPr>
          <w:p>
            <w:pPr>
              <w:pStyle w:val="2"/>
              <w:spacing w:line="240" w:lineRule="auto"/>
              <w:ind w:firstLine="0" w:firstLineChars="0"/>
              <w:rPr>
                <w:rFonts w:hint="eastAsia" w:ascii="仿宋" w:hAnsi="仿宋" w:eastAsia="仿宋" w:cs="仿宋"/>
                <w:b/>
                <w:bCs/>
                <w:sz w:val="24"/>
                <w:szCs w:val="24"/>
              </w:rPr>
            </w:pPr>
            <w:r>
              <w:rPr>
                <w:rFonts w:hint="eastAsia" w:ascii="仿宋" w:hAnsi="仿宋" w:eastAsia="仿宋" w:cs="仿宋"/>
                <w:b/>
                <w:bCs/>
                <w:sz w:val="24"/>
                <w:szCs w:val="24"/>
              </w:rPr>
              <w:t>检 测 项 目</w:t>
            </w:r>
          </w:p>
        </w:tc>
        <w:tc>
          <w:tcPr>
            <w:tcW w:w="745" w:type="pct"/>
            <w:noWrap w:val="0"/>
            <w:vAlign w:val="center"/>
          </w:tcPr>
          <w:p>
            <w:pPr>
              <w:pStyle w:val="2"/>
              <w:spacing w:line="240" w:lineRule="auto"/>
              <w:ind w:firstLine="0" w:firstLineChars="0"/>
              <w:rPr>
                <w:rFonts w:hint="eastAsia" w:ascii="仿宋" w:hAnsi="仿宋" w:eastAsia="仿宋" w:cs="仿宋"/>
                <w:b/>
                <w:bCs/>
                <w:sz w:val="24"/>
                <w:szCs w:val="24"/>
              </w:rPr>
            </w:pPr>
            <w:r>
              <w:rPr>
                <w:rFonts w:hint="eastAsia" w:ascii="仿宋" w:hAnsi="仿宋" w:eastAsia="仿宋" w:cs="仿宋"/>
                <w:b/>
                <w:bCs/>
                <w:sz w:val="24"/>
                <w:szCs w:val="24"/>
              </w:rPr>
              <w:t>标准值</w:t>
            </w:r>
          </w:p>
        </w:tc>
        <w:tc>
          <w:tcPr>
            <w:tcW w:w="355" w:type="pct"/>
            <w:noWrap w:val="0"/>
            <w:vAlign w:val="center"/>
          </w:tcPr>
          <w:p>
            <w:pPr>
              <w:pStyle w:val="2"/>
              <w:spacing w:line="240" w:lineRule="auto"/>
              <w:ind w:firstLine="0" w:firstLineChars="0"/>
              <w:rPr>
                <w:rFonts w:hint="eastAsia" w:ascii="仿宋" w:hAnsi="仿宋" w:eastAsia="仿宋" w:cs="仿宋"/>
                <w:b/>
                <w:bCs/>
                <w:sz w:val="24"/>
                <w:szCs w:val="24"/>
              </w:rPr>
            </w:pPr>
            <w:r>
              <w:rPr>
                <w:rFonts w:hint="eastAsia" w:ascii="仿宋" w:hAnsi="仿宋" w:eastAsia="仿宋" w:cs="仿宋"/>
                <w:b/>
                <w:bCs/>
                <w:sz w:val="24"/>
                <w:szCs w:val="24"/>
              </w:rPr>
              <w:t>序号</w:t>
            </w:r>
          </w:p>
        </w:tc>
        <w:tc>
          <w:tcPr>
            <w:tcW w:w="1449" w:type="pct"/>
            <w:noWrap w:val="0"/>
            <w:vAlign w:val="center"/>
          </w:tcPr>
          <w:p>
            <w:pPr>
              <w:pStyle w:val="2"/>
              <w:spacing w:line="240" w:lineRule="auto"/>
              <w:ind w:firstLine="0" w:firstLineChars="0"/>
              <w:rPr>
                <w:rFonts w:hint="eastAsia" w:ascii="仿宋" w:hAnsi="仿宋" w:eastAsia="仿宋" w:cs="仿宋"/>
                <w:b/>
                <w:bCs/>
                <w:sz w:val="24"/>
                <w:szCs w:val="24"/>
              </w:rPr>
            </w:pPr>
            <w:r>
              <w:rPr>
                <w:rFonts w:hint="eastAsia" w:ascii="仿宋" w:hAnsi="仿宋" w:eastAsia="仿宋" w:cs="仿宋"/>
                <w:b/>
                <w:bCs/>
                <w:sz w:val="24"/>
                <w:szCs w:val="24"/>
              </w:rPr>
              <w:t>检 测 项 目</w:t>
            </w:r>
          </w:p>
        </w:tc>
        <w:tc>
          <w:tcPr>
            <w:tcW w:w="868" w:type="pct"/>
            <w:noWrap w:val="0"/>
            <w:vAlign w:val="center"/>
          </w:tcPr>
          <w:p>
            <w:pPr>
              <w:pStyle w:val="2"/>
              <w:spacing w:line="240" w:lineRule="auto"/>
              <w:ind w:firstLine="0" w:firstLineChars="0"/>
              <w:rPr>
                <w:rFonts w:hint="eastAsia" w:ascii="仿宋" w:hAnsi="仿宋" w:eastAsia="仿宋" w:cs="仿宋"/>
                <w:b/>
                <w:bCs/>
                <w:sz w:val="24"/>
                <w:szCs w:val="24"/>
              </w:rPr>
            </w:pPr>
            <w:r>
              <w:rPr>
                <w:rFonts w:hint="eastAsia" w:ascii="仿宋" w:hAnsi="仿宋" w:eastAsia="仿宋" w:cs="仿宋"/>
                <w:b/>
                <w:bCs/>
                <w:sz w:val="24"/>
                <w:szCs w:val="24"/>
              </w:rPr>
              <w:t>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367"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1</w:t>
            </w:r>
          </w:p>
        </w:tc>
        <w:tc>
          <w:tcPr>
            <w:tcW w:w="1213"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化学需氧量(CODcr)</w:t>
            </w:r>
          </w:p>
        </w:tc>
        <w:tc>
          <w:tcPr>
            <w:tcW w:w="745"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≤50mg/L</w:t>
            </w:r>
          </w:p>
        </w:tc>
        <w:tc>
          <w:tcPr>
            <w:tcW w:w="355"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10</w:t>
            </w:r>
          </w:p>
        </w:tc>
        <w:tc>
          <w:tcPr>
            <w:tcW w:w="1449"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总有机碳</w:t>
            </w:r>
          </w:p>
        </w:tc>
        <w:tc>
          <w:tcPr>
            <w:tcW w:w="868"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≤35mg/L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367"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2</w:t>
            </w:r>
          </w:p>
        </w:tc>
        <w:tc>
          <w:tcPr>
            <w:tcW w:w="1213"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五日生化需氧量(BOD5)</w:t>
            </w:r>
          </w:p>
        </w:tc>
        <w:tc>
          <w:tcPr>
            <w:tcW w:w="745"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≤10mg/L</w:t>
            </w:r>
          </w:p>
        </w:tc>
        <w:tc>
          <w:tcPr>
            <w:tcW w:w="355"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11</w:t>
            </w:r>
          </w:p>
        </w:tc>
        <w:tc>
          <w:tcPr>
            <w:tcW w:w="1449"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急性毒性（HgCl2毒性当量）</w:t>
            </w:r>
          </w:p>
        </w:tc>
        <w:tc>
          <w:tcPr>
            <w:tcW w:w="868"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367"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3</w:t>
            </w:r>
          </w:p>
        </w:tc>
        <w:tc>
          <w:tcPr>
            <w:tcW w:w="1213"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悬浮物(SS)</w:t>
            </w:r>
          </w:p>
        </w:tc>
        <w:tc>
          <w:tcPr>
            <w:tcW w:w="745"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≤10mg/L</w:t>
            </w:r>
          </w:p>
        </w:tc>
        <w:tc>
          <w:tcPr>
            <w:tcW w:w="355"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12</w:t>
            </w:r>
          </w:p>
        </w:tc>
        <w:tc>
          <w:tcPr>
            <w:tcW w:w="1449"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总氰化物</w:t>
            </w:r>
          </w:p>
        </w:tc>
        <w:tc>
          <w:tcPr>
            <w:tcW w:w="868"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367"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4</w:t>
            </w:r>
          </w:p>
        </w:tc>
        <w:tc>
          <w:tcPr>
            <w:tcW w:w="1213"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动植物油</w:t>
            </w:r>
          </w:p>
        </w:tc>
        <w:tc>
          <w:tcPr>
            <w:tcW w:w="745"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≤1mg/L</w:t>
            </w:r>
          </w:p>
        </w:tc>
        <w:tc>
          <w:tcPr>
            <w:tcW w:w="355"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13</w:t>
            </w:r>
          </w:p>
        </w:tc>
        <w:tc>
          <w:tcPr>
            <w:tcW w:w="1449"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硫化物</w:t>
            </w:r>
          </w:p>
        </w:tc>
        <w:tc>
          <w:tcPr>
            <w:tcW w:w="868"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≤1mg/L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367"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5</w:t>
            </w:r>
          </w:p>
        </w:tc>
        <w:tc>
          <w:tcPr>
            <w:tcW w:w="1213"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总氮</w:t>
            </w:r>
          </w:p>
        </w:tc>
        <w:tc>
          <w:tcPr>
            <w:tcW w:w="745"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≤15mg/L</w:t>
            </w:r>
          </w:p>
        </w:tc>
        <w:tc>
          <w:tcPr>
            <w:tcW w:w="355"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14</w:t>
            </w:r>
          </w:p>
        </w:tc>
        <w:tc>
          <w:tcPr>
            <w:tcW w:w="1449"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硝基苯类</w:t>
            </w:r>
          </w:p>
        </w:tc>
        <w:tc>
          <w:tcPr>
            <w:tcW w:w="868"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≤2mg/L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367"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6</w:t>
            </w:r>
          </w:p>
        </w:tc>
        <w:tc>
          <w:tcPr>
            <w:tcW w:w="1213"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氨氮（NH3—N）</w:t>
            </w:r>
          </w:p>
        </w:tc>
        <w:tc>
          <w:tcPr>
            <w:tcW w:w="745"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≤5（8）mg/L</w:t>
            </w:r>
          </w:p>
        </w:tc>
        <w:tc>
          <w:tcPr>
            <w:tcW w:w="355"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15</w:t>
            </w:r>
          </w:p>
        </w:tc>
        <w:tc>
          <w:tcPr>
            <w:tcW w:w="1449"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苯胺类</w:t>
            </w:r>
          </w:p>
        </w:tc>
        <w:tc>
          <w:tcPr>
            <w:tcW w:w="868"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≤2mg/L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367"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7</w:t>
            </w:r>
          </w:p>
        </w:tc>
        <w:tc>
          <w:tcPr>
            <w:tcW w:w="1213"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总磷</w:t>
            </w:r>
          </w:p>
        </w:tc>
        <w:tc>
          <w:tcPr>
            <w:tcW w:w="745"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≤0.5mg/L</w:t>
            </w:r>
          </w:p>
        </w:tc>
        <w:tc>
          <w:tcPr>
            <w:tcW w:w="355"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16</w:t>
            </w:r>
          </w:p>
        </w:tc>
        <w:tc>
          <w:tcPr>
            <w:tcW w:w="1449"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二氯甲烷</w:t>
            </w:r>
          </w:p>
        </w:tc>
        <w:tc>
          <w:tcPr>
            <w:tcW w:w="868"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≤0.3mg/L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367"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8</w:t>
            </w:r>
          </w:p>
        </w:tc>
        <w:tc>
          <w:tcPr>
            <w:tcW w:w="1213"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色度(稀释倍数)</w:t>
            </w:r>
          </w:p>
        </w:tc>
        <w:tc>
          <w:tcPr>
            <w:tcW w:w="745"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≤30倍</w:t>
            </w:r>
          </w:p>
        </w:tc>
        <w:tc>
          <w:tcPr>
            <w:tcW w:w="355"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17</w:t>
            </w:r>
          </w:p>
        </w:tc>
        <w:tc>
          <w:tcPr>
            <w:tcW w:w="1449"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甲苯</w:t>
            </w:r>
          </w:p>
        </w:tc>
        <w:tc>
          <w:tcPr>
            <w:tcW w:w="868"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≤0.1mg/L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367"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9</w:t>
            </w:r>
          </w:p>
        </w:tc>
        <w:tc>
          <w:tcPr>
            <w:tcW w:w="1213"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PH值</w:t>
            </w:r>
          </w:p>
        </w:tc>
        <w:tc>
          <w:tcPr>
            <w:tcW w:w="745"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6～9</w:t>
            </w:r>
          </w:p>
        </w:tc>
        <w:tc>
          <w:tcPr>
            <w:tcW w:w="355"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w:t>
            </w:r>
          </w:p>
        </w:tc>
        <w:tc>
          <w:tcPr>
            <w:tcW w:w="1449"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w:t>
            </w:r>
          </w:p>
        </w:tc>
        <w:tc>
          <w:tcPr>
            <w:tcW w:w="868"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w:t>
            </w:r>
          </w:p>
        </w:tc>
      </w:tr>
    </w:tbl>
    <w:p>
      <w:pPr>
        <w:keepNext w:val="0"/>
        <w:keepLines w:val="0"/>
        <w:pageBreakBefore w:val="0"/>
        <w:widowControl w:val="0"/>
        <w:numPr>
          <w:ilvl w:val="0"/>
          <w:numId w:val="0"/>
        </w:numPr>
        <w:tabs>
          <w:tab w:val="left" w:pos="410"/>
        </w:tabs>
        <w:kinsoku/>
        <w:wordWrap/>
        <w:overflowPunct/>
        <w:topLinePunct w:val="0"/>
        <w:autoSpaceDE/>
        <w:autoSpaceDN/>
        <w:bidi w:val="0"/>
        <w:adjustRightInd w:val="0"/>
        <w:snapToGrid w:val="0"/>
        <w:spacing w:line="520" w:lineRule="exact"/>
        <w:jc w:val="left"/>
        <w:textAlignment w:val="auto"/>
        <w:rPr>
          <w:rFonts w:hint="eastAsia" w:ascii="仿宋_GB2312" w:hAnsi="仿宋_GB2312" w:eastAsia="仿宋_GB2312" w:cs="仿宋_GB2312"/>
          <w:color w:val="auto"/>
          <w:spacing w:val="-4"/>
          <w:kern w:val="2"/>
          <w:sz w:val="32"/>
          <w:szCs w:val="32"/>
          <w:lang w:val="en-US" w:eastAsia="zh-CN" w:bidi="ar-SA"/>
        </w:rPr>
      </w:pPr>
      <w:r>
        <w:rPr>
          <w:rFonts w:hint="eastAsia" w:ascii="仿宋_GB2312" w:hAnsi="仿宋_GB2312" w:eastAsia="仿宋_GB2312" w:cs="仿宋_GB2312"/>
          <w:color w:val="auto"/>
          <w:spacing w:val="-4"/>
          <w:kern w:val="2"/>
          <w:sz w:val="32"/>
          <w:szCs w:val="32"/>
          <w:lang w:val="en-US" w:eastAsia="zh-CN" w:bidi="ar-SA"/>
        </w:rPr>
        <w:t>　7）用量：总用量5000kg。</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Chars="200" w:right="0" w:rightChars="0"/>
        <w:jc w:val="left"/>
        <w:textAlignment w:val="auto"/>
        <w:rPr>
          <w:rFonts w:hint="eastAsia" w:ascii="仿宋_GB2312" w:hAnsi="仿宋_GB2312" w:eastAsia="仿宋_GB2312" w:cs="仿宋_GB2312"/>
          <w:color w:val="auto"/>
          <w:spacing w:val="-4"/>
          <w:sz w:val="32"/>
          <w:szCs w:val="32"/>
          <w:lang w:val="en-US" w:eastAsia="zh-CN"/>
        </w:rPr>
      </w:pPr>
      <w:r>
        <w:rPr>
          <w:rFonts w:hint="eastAsia" w:ascii="仿宋_GB2312" w:hAnsi="仿宋_GB2312" w:eastAsia="仿宋_GB2312" w:cs="仿宋_GB2312"/>
          <w:color w:val="auto"/>
          <w:spacing w:val="-4"/>
          <w:sz w:val="32"/>
          <w:szCs w:val="32"/>
          <w:lang w:val="en-US" w:eastAsia="zh-CN"/>
        </w:rPr>
        <w:t>8）伴随提供的技术服务要求：</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Chars="200" w:right="0" w:rightChars="0"/>
        <w:jc w:val="left"/>
        <w:textAlignment w:val="auto"/>
        <w:rPr>
          <w:rFonts w:hint="eastAsia" w:ascii="仿宋_GB2312" w:hAnsi="仿宋_GB2312" w:eastAsia="仿宋_GB2312" w:cs="仿宋_GB2312"/>
          <w:color w:val="auto"/>
          <w:spacing w:val="-4"/>
          <w:sz w:val="32"/>
          <w:szCs w:val="32"/>
          <w:lang w:val="en-US" w:eastAsia="zh-CN"/>
        </w:rPr>
      </w:pPr>
      <w:r>
        <w:rPr>
          <w:rFonts w:hint="eastAsia" w:ascii="仿宋_GB2312" w:hAnsi="仿宋_GB2312" w:eastAsia="仿宋_GB2312" w:cs="仿宋_GB2312"/>
          <w:color w:val="auto"/>
          <w:spacing w:val="-4"/>
          <w:sz w:val="32"/>
          <w:szCs w:val="32"/>
          <w:lang w:val="en-US" w:eastAsia="zh-CN"/>
        </w:rPr>
        <w:t>①自行对废水进行适应性实验；</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Chars="200" w:right="0" w:rightChars="0"/>
        <w:jc w:val="left"/>
        <w:textAlignment w:val="auto"/>
        <w:rPr>
          <w:rFonts w:hint="eastAsia" w:ascii="仿宋_GB2312" w:hAnsi="仿宋_GB2312" w:eastAsia="仿宋_GB2312" w:cs="仿宋_GB2312"/>
          <w:color w:val="auto"/>
          <w:spacing w:val="-4"/>
          <w:sz w:val="32"/>
          <w:szCs w:val="32"/>
          <w:lang w:val="en-US" w:eastAsia="zh-CN"/>
        </w:rPr>
      </w:pPr>
      <w:r>
        <w:rPr>
          <w:rFonts w:hint="eastAsia" w:ascii="仿宋_GB2312" w:hAnsi="仿宋_GB2312" w:eastAsia="仿宋_GB2312" w:cs="仿宋_GB2312"/>
          <w:color w:val="auto"/>
          <w:spacing w:val="-4"/>
          <w:sz w:val="32"/>
          <w:szCs w:val="32"/>
          <w:lang w:val="en-US" w:eastAsia="zh-CN"/>
        </w:rPr>
        <w:t>②在正式接种前完成扩大化培养驯化；</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Chars="200" w:right="0" w:rightChars="0"/>
        <w:jc w:val="left"/>
        <w:textAlignment w:val="auto"/>
        <w:rPr>
          <w:rFonts w:hint="eastAsia" w:ascii="仿宋_GB2312" w:hAnsi="仿宋_GB2312" w:eastAsia="仿宋_GB2312" w:cs="仿宋_GB2312"/>
          <w:spacing w:val="-4"/>
          <w:sz w:val="32"/>
          <w:szCs w:val="32"/>
          <w:lang w:val="en-US" w:eastAsia="zh-CN"/>
        </w:rPr>
      </w:pPr>
      <w:r>
        <w:rPr>
          <w:rFonts w:hint="eastAsia" w:ascii="仿宋_GB2312" w:hAnsi="仿宋_GB2312" w:eastAsia="仿宋_GB2312" w:cs="仿宋_GB2312"/>
          <w:spacing w:val="-4"/>
          <w:sz w:val="32"/>
          <w:szCs w:val="32"/>
          <w:lang w:val="en-US" w:eastAsia="zh-CN"/>
        </w:rPr>
        <w:t>③提供系统启动运行方案、培训甲方操作人员并完成系统的调试启动。</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right="0" w:firstLine="624" w:firstLineChars="200"/>
        <w:jc w:val="left"/>
        <w:textAlignment w:val="auto"/>
        <w:rPr>
          <w:rFonts w:hint="eastAsia" w:ascii="仿宋_GB2312" w:hAnsi="仿宋_GB2312" w:eastAsia="仿宋_GB2312" w:cs="仿宋_GB2312"/>
          <w:spacing w:val="-4"/>
          <w:sz w:val="32"/>
          <w:szCs w:val="32"/>
          <w:lang w:val="en-US" w:eastAsia="zh-CN"/>
        </w:rPr>
      </w:pPr>
      <w:r>
        <w:rPr>
          <w:rFonts w:hint="eastAsia" w:ascii="仿宋_GB2312" w:hAnsi="仿宋_GB2312" w:eastAsia="仿宋_GB2312" w:cs="仿宋_GB2312"/>
          <w:spacing w:val="-4"/>
          <w:sz w:val="32"/>
          <w:szCs w:val="32"/>
          <w:lang w:val="en-US" w:eastAsia="zh-CN"/>
        </w:rPr>
        <w:t>④要求在规定时间内能快速提高污水处理系统的污泥浓度或挂膜速度、 可快速提高系统去除有机污染物的能力，并确保拟处理污水实现达标排放。</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Chars="200" w:right="0" w:rightChars="0"/>
        <w:jc w:val="left"/>
        <w:textAlignment w:val="auto"/>
        <w:rPr>
          <w:rFonts w:hint="eastAsia" w:ascii="仿宋_GB2312" w:hAnsi="仿宋_GB2312" w:eastAsia="仿宋_GB2312" w:cs="仿宋_GB2312"/>
          <w:spacing w:val="-2"/>
          <w:position w:val="11"/>
          <w:sz w:val="32"/>
          <w:szCs w:val="32"/>
          <w:vertAlign w:val="baseline"/>
          <w:lang w:val="en-US" w:eastAsia="zh-CN"/>
        </w:rPr>
      </w:pPr>
      <w:r>
        <w:rPr>
          <w:rFonts w:hint="eastAsia" w:ascii="仿宋_GB2312" w:hAnsi="仿宋_GB2312" w:eastAsia="仿宋_GB2312" w:cs="仿宋_GB2312"/>
          <w:spacing w:val="-2"/>
          <w:position w:val="11"/>
          <w:sz w:val="32"/>
          <w:szCs w:val="32"/>
          <w:vertAlign w:val="baseline"/>
          <w:lang w:val="en-US" w:eastAsia="zh-CN"/>
        </w:rPr>
        <w:t>9）配套提供包含但不限于：</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Chars="200" w:right="0" w:rightChars="0"/>
        <w:jc w:val="left"/>
        <w:textAlignment w:val="auto"/>
        <w:rPr>
          <w:rFonts w:hint="eastAsia" w:ascii="仿宋_GB2312" w:hAnsi="仿宋_GB2312" w:eastAsia="仿宋_GB2312" w:cs="仿宋_GB2312"/>
          <w:spacing w:val="-2"/>
          <w:position w:val="11"/>
          <w:sz w:val="32"/>
          <w:szCs w:val="32"/>
          <w:vertAlign w:val="baseline"/>
          <w:lang w:val="en-US" w:eastAsia="zh-CN"/>
        </w:rPr>
      </w:pPr>
      <w:r>
        <w:rPr>
          <w:rFonts w:hint="eastAsia" w:ascii="仿宋_GB2312" w:hAnsi="仿宋_GB2312" w:eastAsia="仿宋_GB2312" w:cs="仿宋_GB2312"/>
          <w:spacing w:val="-2"/>
          <w:position w:val="11"/>
          <w:sz w:val="32"/>
          <w:szCs w:val="32"/>
          <w:vertAlign w:val="baseline"/>
          <w:lang w:val="en-US" w:eastAsia="zh-CN"/>
        </w:rPr>
        <w:t>①小试装置：不小于200L容器4个及曝气、搅拌装置；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Chars="200" w:right="0" w:rightChars="0"/>
        <w:jc w:val="left"/>
        <w:textAlignment w:val="auto"/>
        <w:rPr>
          <w:rFonts w:hint="eastAsia" w:ascii="仿宋_GB2312" w:hAnsi="仿宋_GB2312" w:eastAsia="仿宋_GB2312" w:cs="仿宋_GB2312"/>
          <w:spacing w:val="-2"/>
          <w:position w:val="11"/>
          <w:sz w:val="32"/>
          <w:szCs w:val="32"/>
          <w:vertAlign w:val="baseline"/>
          <w:lang w:val="en-US" w:eastAsia="zh-CN"/>
        </w:rPr>
      </w:pPr>
      <w:r>
        <w:rPr>
          <w:rFonts w:hint="eastAsia" w:ascii="仿宋_GB2312" w:hAnsi="仿宋_GB2312" w:eastAsia="仿宋_GB2312" w:cs="仿宋_GB2312"/>
          <w:spacing w:val="-2"/>
          <w:position w:val="11"/>
          <w:sz w:val="32"/>
          <w:szCs w:val="32"/>
          <w:vertAlign w:val="baseline"/>
          <w:lang w:val="en-US" w:eastAsia="zh-CN"/>
        </w:rPr>
        <w:t>②菌剂投加的设备、设施；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Chars="200" w:right="0" w:rightChars="0"/>
        <w:jc w:val="left"/>
        <w:textAlignment w:val="auto"/>
        <w:rPr>
          <w:rFonts w:hint="eastAsia" w:ascii="仿宋_GB2312" w:hAnsi="仿宋_GB2312" w:eastAsia="仿宋_GB2312" w:cs="仿宋_GB2312"/>
          <w:spacing w:val="-2"/>
          <w:position w:val="11"/>
          <w:sz w:val="32"/>
          <w:szCs w:val="32"/>
          <w:vertAlign w:val="baseline"/>
          <w:lang w:val="en-US" w:eastAsia="zh-CN"/>
        </w:rPr>
      </w:pPr>
      <w:r>
        <w:rPr>
          <w:rFonts w:hint="eastAsia" w:ascii="仿宋_GB2312" w:hAnsi="仿宋_GB2312" w:eastAsia="仿宋_GB2312" w:cs="仿宋_GB2312"/>
          <w:spacing w:val="-2"/>
          <w:position w:val="11"/>
          <w:sz w:val="32"/>
          <w:szCs w:val="32"/>
          <w:vertAlign w:val="baseline"/>
          <w:lang w:val="en-US" w:eastAsia="zh-CN"/>
        </w:rPr>
        <w:t>③予驯化培养及扩大培养所需的反应设备、设施；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Chars="200" w:right="0" w:rightChars="0"/>
        <w:jc w:val="left"/>
        <w:textAlignment w:val="auto"/>
        <w:rPr>
          <w:rFonts w:hint="eastAsia" w:ascii="仿宋_GB2312" w:hAnsi="仿宋_GB2312" w:eastAsia="仿宋_GB2312" w:cs="仿宋_GB2312"/>
          <w:spacing w:val="-2"/>
          <w:position w:val="11"/>
          <w:sz w:val="32"/>
          <w:szCs w:val="32"/>
          <w:vertAlign w:val="baseline"/>
          <w:lang w:val="en-US" w:eastAsia="zh-CN"/>
        </w:rPr>
      </w:pPr>
      <w:r>
        <w:rPr>
          <w:rFonts w:hint="eastAsia" w:ascii="仿宋_GB2312" w:hAnsi="仿宋_GB2312" w:eastAsia="仿宋_GB2312" w:cs="仿宋_GB2312"/>
          <w:spacing w:val="-2"/>
          <w:position w:val="11"/>
          <w:sz w:val="32"/>
          <w:szCs w:val="32"/>
          <w:vertAlign w:val="baseline"/>
          <w:lang w:val="en-US" w:eastAsia="zh-CN"/>
        </w:rPr>
        <w:t>④驻厂轮班运行人员不得少于4人，时间直至调试达标（暂估为5个月）。</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Chars="200" w:right="0" w:rightChars="0"/>
        <w:jc w:val="left"/>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二、硝化菌（好氧强化菌）     数量约4000kg</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1）作用：</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硝化菌是针对精细化工业园区污水处理厂去除氨氮研发的微生态制剂，由亚硝化单胞细菌、硝化细菌、生物酶及保护剂等组成。亚硝化单胞菌将氨氮转化为亚硝酸盐， 而硝化杆菌则是将亚硝酸盐转化为硝酸盐。 在硝化反应中， 增加污水处理系统中的亚硝化单胞菌和硝化杆菌数量， 使系统达到硝化的目的。同时复配了氮同化率高的兼养菌， 利用菌种间的协同作用， 调节污水水质以适于亚硝化单胞菌和硝化杆菌附着和生长，并提高低温条件下的运行能力</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2）有效活菌数：有效活菌数参照农用微生物菌剂（GB 20287-2006）标准，必须满足本类污水处理启动需求且(cfu)a ≥2亿/g(mL)</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700" w:firstLineChars="200"/>
        <w:jc w:val="left"/>
        <w:textAlignment w:val="auto"/>
        <w:rPr>
          <w:rFonts w:hint="eastAsia" w:ascii="仿宋_GB2312" w:hAnsi="仿宋_GB2312" w:eastAsia="仿宋_GB2312" w:cs="仿宋_GB2312"/>
          <w:i w:val="0"/>
          <w:iCs w:val="0"/>
          <w:caps w:val="0"/>
          <w:color w:val="auto"/>
          <w:spacing w:val="15"/>
          <w:sz w:val="32"/>
          <w:szCs w:val="32"/>
          <w:shd w:val="clear" w:fill="FFFFFF"/>
          <w:lang w:val="en-US" w:eastAsia="zh-CN"/>
        </w:rPr>
      </w:pPr>
      <w:r>
        <w:rPr>
          <w:rFonts w:hint="eastAsia" w:ascii="仿宋_GB2312" w:hAnsi="仿宋_GB2312" w:eastAsia="仿宋_GB2312" w:cs="仿宋_GB2312"/>
          <w:i w:val="0"/>
          <w:iCs w:val="0"/>
          <w:caps w:val="0"/>
          <w:color w:val="auto"/>
          <w:spacing w:val="15"/>
          <w:sz w:val="32"/>
          <w:szCs w:val="32"/>
          <w:shd w:val="clear" w:fill="FFFFFF"/>
          <w:lang w:val="en-US" w:eastAsia="zh-CN"/>
        </w:rPr>
        <w:t>3）</w:t>
      </w:r>
      <w:r>
        <w:rPr>
          <w:rFonts w:hint="eastAsia" w:ascii="仿宋_GB2312" w:hAnsi="仿宋_GB2312" w:eastAsia="仿宋_GB2312" w:cs="仿宋_GB2312"/>
          <w:i w:val="0"/>
          <w:iCs w:val="0"/>
          <w:caps w:val="0"/>
          <w:color w:val="auto"/>
          <w:spacing w:val="15"/>
          <w:sz w:val="32"/>
          <w:szCs w:val="32"/>
          <w:shd w:val="clear" w:fill="FFFFFF"/>
          <w:lang w:eastAsia="zh-CN"/>
        </w:rPr>
        <w:t>主要组成为：</w:t>
      </w:r>
      <w:r>
        <w:rPr>
          <w:rFonts w:hint="eastAsia" w:ascii="仿宋_GB2312" w:hAnsi="仿宋_GB2312" w:eastAsia="仿宋_GB2312" w:cs="仿宋_GB2312"/>
          <w:i w:val="0"/>
          <w:iCs w:val="0"/>
          <w:caps w:val="0"/>
          <w:color w:val="auto"/>
          <w:spacing w:val="15"/>
          <w:sz w:val="32"/>
          <w:szCs w:val="32"/>
          <w:shd w:val="clear" w:fill="FFFFFF"/>
        </w:rPr>
        <w:t>真菌</w:t>
      </w:r>
      <w:r>
        <w:rPr>
          <w:rFonts w:hint="eastAsia" w:ascii="仿宋_GB2312" w:hAnsi="仿宋_GB2312" w:eastAsia="仿宋_GB2312" w:cs="仿宋_GB2312"/>
          <w:i w:val="0"/>
          <w:iCs w:val="0"/>
          <w:caps w:val="0"/>
          <w:color w:val="auto"/>
          <w:spacing w:val="15"/>
          <w:sz w:val="32"/>
          <w:szCs w:val="32"/>
          <w:shd w:val="clear" w:fill="FFFFFF"/>
          <w:lang w:eastAsia="zh-CN"/>
        </w:rPr>
        <w:t>（</w:t>
      </w:r>
      <w:r>
        <w:rPr>
          <w:rFonts w:hint="eastAsia" w:ascii="仿宋_GB2312" w:hAnsi="仿宋_GB2312" w:eastAsia="仿宋_GB2312" w:cs="仿宋_GB2312"/>
          <w:i w:val="0"/>
          <w:iCs w:val="0"/>
          <w:caps w:val="0"/>
          <w:color w:val="auto"/>
          <w:spacing w:val="15"/>
          <w:sz w:val="32"/>
          <w:szCs w:val="32"/>
          <w:shd w:val="clear" w:fill="FFFFFF"/>
        </w:rPr>
        <w:t>霉菌和酵母菌</w:t>
      </w:r>
      <w:r>
        <w:rPr>
          <w:rFonts w:hint="eastAsia" w:ascii="仿宋_GB2312" w:hAnsi="仿宋_GB2312" w:eastAsia="仿宋_GB2312" w:cs="仿宋_GB2312"/>
          <w:i w:val="0"/>
          <w:iCs w:val="0"/>
          <w:caps w:val="0"/>
          <w:color w:val="auto"/>
          <w:spacing w:val="15"/>
          <w:sz w:val="32"/>
          <w:szCs w:val="32"/>
          <w:shd w:val="clear" w:fill="FFFFFF"/>
          <w:lang w:eastAsia="zh-CN"/>
        </w:rPr>
        <w:t>）、生物酶、营养物质，杂菌率≤</w:t>
      </w:r>
      <w:r>
        <w:rPr>
          <w:rFonts w:hint="eastAsia" w:ascii="仿宋_GB2312" w:hAnsi="仿宋_GB2312" w:eastAsia="仿宋_GB2312" w:cs="仿宋_GB2312"/>
          <w:i w:val="0"/>
          <w:iCs w:val="0"/>
          <w:caps w:val="0"/>
          <w:color w:val="auto"/>
          <w:spacing w:val="15"/>
          <w:sz w:val="32"/>
          <w:szCs w:val="32"/>
          <w:shd w:val="clear" w:fill="FFFFFF"/>
          <w:lang w:val="en-US" w:eastAsia="zh-CN"/>
        </w:rPr>
        <w:t>20~30%。</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pacing w:val="-5"/>
          <w:sz w:val="32"/>
          <w:szCs w:val="32"/>
        </w:rPr>
        <w:t>产品性状：固</w:t>
      </w:r>
      <w:r>
        <w:rPr>
          <w:rFonts w:hint="eastAsia" w:ascii="仿宋_GB2312" w:hAnsi="仿宋_GB2312" w:eastAsia="仿宋_GB2312" w:cs="仿宋_GB2312"/>
          <w:color w:val="auto"/>
          <w:spacing w:val="-5"/>
          <w:sz w:val="32"/>
          <w:szCs w:val="32"/>
          <w:lang w:eastAsia="zh-CN"/>
        </w:rPr>
        <w:t>态或液态</w:t>
      </w:r>
      <w:r>
        <w:rPr>
          <w:rFonts w:hint="eastAsia" w:ascii="仿宋_GB2312" w:hAnsi="仿宋_GB2312" w:eastAsia="仿宋_GB2312" w:cs="仿宋_GB2312"/>
          <w:color w:val="auto"/>
          <w:spacing w:val="-5"/>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right="0" w:firstLine="628" w:firstLineChars="200"/>
        <w:jc w:val="left"/>
        <w:textAlignment w:val="auto"/>
        <w:rPr>
          <w:rFonts w:hint="eastAsia" w:ascii="仿宋_GB2312" w:hAnsi="仿宋_GB2312" w:eastAsia="仿宋_GB2312" w:cs="仿宋_GB2312"/>
          <w:color w:val="auto"/>
          <w:spacing w:val="-3"/>
          <w:sz w:val="32"/>
          <w:szCs w:val="32"/>
          <w:lang w:val="en-US" w:eastAsia="zh-CN"/>
        </w:rPr>
      </w:pPr>
      <w:r>
        <w:rPr>
          <w:rFonts w:hint="eastAsia" w:ascii="仿宋_GB2312" w:hAnsi="仿宋_GB2312" w:eastAsia="仿宋_GB2312" w:cs="仿宋_GB2312"/>
          <w:color w:val="auto"/>
          <w:spacing w:val="-3"/>
          <w:sz w:val="32"/>
          <w:szCs w:val="32"/>
          <w:lang w:val="en-US" w:eastAsia="zh-CN"/>
        </w:rPr>
        <w:t>5）</w:t>
      </w:r>
      <w:r>
        <w:rPr>
          <w:rFonts w:hint="eastAsia" w:ascii="仿宋_GB2312" w:hAnsi="仿宋_GB2312" w:eastAsia="仿宋_GB2312" w:cs="仿宋_GB2312"/>
          <w:color w:val="auto"/>
          <w:spacing w:val="-3"/>
          <w:sz w:val="32"/>
          <w:szCs w:val="32"/>
        </w:rPr>
        <w:t>包装规格：塑料桶</w:t>
      </w:r>
      <w:r>
        <w:rPr>
          <w:rFonts w:hint="eastAsia" w:ascii="仿宋_GB2312" w:hAnsi="仿宋_GB2312" w:eastAsia="仿宋_GB2312" w:cs="仿宋_GB2312"/>
          <w:color w:val="auto"/>
          <w:spacing w:val="-3"/>
          <w:sz w:val="32"/>
          <w:szCs w:val="32"/>
          <w:lang w:val="en-US" w:eastAsia="zh-CN"/>
        </w:rPr>
        <w:t>或袋式</w:t>
      </w:r>
      <w:r>
        <w:rPr>
          <w:rFonts w:hint="eastAsia" w:ascii="仿宋_GB2312" w:hAnsi="仿宋_GB2312" w:eastAsia="仿宋_GB2312" w:cs="仿宋_GB2312"/>
          <w:color w:val="auto"/>
          <w:spacing w:val="-3"/>
          <w:sz w:val="32"/>
          <w:szCs w:val="32"/>
        </w:rPr>
        <w:t>包装</w:t>
      </w:r>
      <w:r>
        <w:rPr>
          <w:rFonts w:hint="eastAsia" w:ascii="仿宋_GB2312" w:hAnsi="仿宋_GB2312" w:eastAsia="仿宋_GB2312" w:cs="仿宋_GB2312"/>
          <w:color w:val="auto"/>
          <w:spacing w:val="-3"/>
          <w:sz w:val="32"/>
          <w:szCs w:val="32"/>
          <w:lang w:eastAsia="zh-CN"/>
        </w:rPr>
        <w:t>，</w:t>
      </w:r>
      <w:r>
        <w:rPr>
          <w:rFonts w:hint="eastAsia" w:ascii="仿宋_GB2312" w:hAnsi="仿宋_GB2312" w:eastAsia="仿宋_GB2312" w:cs="仿宋_GB2312"/>
          <w:color w:val="auto"/>
          <w:spacing w:val="-3"/>
          <w:sz w:val="32"/>
          <w:szCs w:val="32"/>
          <w:lang w:val="en-US" w:eastAsia="zh-CN"/>
        </w:rPr>
        <w:t>规格自定，包装自行回收。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right="0" w:firstLine="620" w:firstLineChars="200"/>
        <w:jc w:val="left"/>
        <w:textAlignment w:val="auto"/>
        <w:rPr>
          <w:rFonts w:hint="eastAsia" w:ascii="仿宋_GB2312" w:hAnsi="仿宋_GB2312" w:eastAsia="仿宋_GB2312" w:cs="仿宋_GB2312"/>
          <w:spacing w:val="-10"/>
          <w:sz w:val="32"/>
          <w:szCs w:val="32"/>
          <w:lang w:val="en-US" w:eastAsia="zh-CN"/>
        </w:rPr>
      </w:pPr>
      <w:r>
        <w:rPr>
          <w:rFonts w:hint="eastAsia" w:ascii="仿宋_GB2312" w:hAnsi="仿宋_GB2312" w:eastAsia="仿宋_GB2312" w:cs="仿宋_GB2312"/>
          <w:spacing w:val="-5"/>
          <w:sz w:val="32"/>
          <w:szCs w:val="32"/>
          <w:lang w:val="en-US" w:eastAsia="zh-CN"/>
        </w:rPr>
        <w:t>6）</w:t>
      </w:r>
      <w:r>
        <w:rPr>
          <w:rFonts w:hint="eastAsia" w:ascii="仿宋_GB2312" w:hAnsi="仿宋_GB2312" w:eastAsia="仿宋_GB2312" w:cs="仿宋_GB2312"/>
          <w:spacing w:val="-10"/>
          <w:sz w:val="32"/>
          <w:szCs w:val="32"/>
          <w:lang w:val="en-US" w:eastAsia="zh-CN"/>
        </w:rPr>
        <w:t>使用条件：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仿宋_GB2312" w:eastAsia="仿宋_GB2312" w:cs="仿宋_GB2312"/>
          <w:color w:val="auto"/>
          <w:spacing w:val="-10"/>
          <w:sz w:val="32"/>
          <w:szCs w:val="32"/>
          <w:lang w:val="en-US" w:eastAsia="zh-CN"/>
        </w:rPr>
      </w:pPr>
      <w:r>
        <w:rPr>
          <w:rFonts w:hint="eastAsia" w:ascii="仿宋_GB2312" w:hAnsi="仿宋_GB2312" w:eastAsia="仿宋_GB2312" w:cs="仿宋_GB2312"/>
          <w:spacing w:val="-10"/>
          <w:sz w:val="32"/>
          <w:szCs w:val="32"/>
          <w:lang w:val="en-US" w:eastAsia="zh-CN"/>
        </w:rPr>
        <w:t>①本处理废水为精细化工园区综合废水；已建成污水处理工</w:t>
      </w:r>
      <w:r>
        <w:rPr>
          <w:rFonts w:hint="eastAsia" w:ascii="仿宋_GB2312" w:hAnsi="仿宋_GB2312" w:eastAsia="仿宋_GB2312" w:cs="仿宋_GB2312"/>
          <w:color w:val="auto"/>
          <w:spacing w:val="-10"/>
          <w:sz w:val="32"/>
          <w:szCs w:val="32"/>
          <w:lang w:val="en-US" w:eastAsia="zh-CN"/>
        </w:rPr>
        <w:t>艺为预处理→综合调节→水解酸化→A/O→MBBR→混凝→高效沉淀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仿宋_GB2312" w:eastAsia="仿宋_GB2312" w:cs="仿宋_GB2312"/>
          <w:color w:val="auto"/>
          <w:spacing w:val="-10"/>
          <w:sz w:val="32"/>
          <w:szCs w:val="32"/>
          <w:lang w:val="en-US" w:eastAsia="zh-CN"/>
        </w:rPr>
      </w:pPr>
      <w:r>
        <w:rPr>
          <w:rFonts w:hint="eastAsia" w:ascii="仿宋_GB2312" w:hAnsi="仿宋_GB2312" w:eastAsia="仿宋_GB2312" w:cs="仿宋_GB2312"/>
          <w:color w:val="auto"/>
          <w:spacing w:val="-10"/>
          <w:sz w:val="32"/>
          <w:szCs w:val="32"/>
          <w:lang w:val="en-US" w:eastAsia="zh-CN"/>
        </w:rPr>
        <w:t>②构筑物位置及有效容积</w:t>
      </w:r>
    </w:p>
    <w:p>
      <w:pPr>
        <w:pStyle w:val="2"/>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仿宋_GB2312" w:eastAsia="仿宋_GB2312" w:cs="仿宋_GB2312"/>
          <w:color w:val="auto"/>
          <w:spacing w:val="-10"/>
          <w:sz w:val="32"/>
          <w:szCs w:val="32"/>
          <w:lang w:val="en-US" w:eastAsia="zh-CN"/>
        </w:rPr>
      </w:pPr>
      <w:r>
        <w:rPr>
          <w:rFonts w:hint="eastAsia" w:ascii="仿宋_GB2312" w:hAnsi="仿宋_GB2312" w:eastAsia="仿宋_GB2312" w:cs="仿宋_GB2312"/>
          <w:color w:val="auto"/>
          <w:spacing w:val="-10"/>
          <w:sz w:val="32"/>
          <w:szCs w:val="32"/>
          <w:lang w:val="en-US" w:eastAsia="zh-CN"/>
        </w:rPr>
        <w:t>参照已建成构筑物，有兴趣的供应商应自行至现场调研工艺及构筑物、设备设施建成情况（调研踏勘费用由供应商自行承担），污水处理系统在使用菌种及提供技术服务后，如不能使出水达标，则承担全部责任。</w:t>
      </w:r>
    </w:p>
    <w:p>
      <w:pPr>
        <w:pStyle w:val="2"/>
        <w:keepNext w:val="0"/>
        <w:keepLines w:val="0"/>
        <w:pageBreakBefore w:val="0"/>
        <w:widowControl w:val="0"/>
        <w:kinsoku/>
        <w:wordWrap/>
        <w:overflowPunct/>
        <w:topLinePunct w:val="0"/>
        <w:autoSpaceDE/>
        <w:autoSpaceDN/>
        <w:bidi w:val="0"/>
        <w:adjustRightInd w:val="0"/>
        <w:snapToGrid w:val="0"/>
        <w:spacing w:line="520" w:lineRule="exact"/>
        <w:ind w:firstLine="62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pacing w:val="-5"/>
          <w:sz w:val="32"/>
          <w:szCs w:val="32"/>
          <w:lang w:val="en-US" w:eastAsia="zh-CN"/>
        </w:rPr>
        <w:t>③日处理原水水量：</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pacing w:val="-5"/>
          <w:sz w:val="32"/>
          <w:szCs w:val="32"/>
          <w:lang w:val="en-US" w:eastAsia="zh-CN"/>
        </w:rPr>
        <w:t>3000m</w:t>
      </w:r>
      <w:r>
        <w:rPr>
          <w:rFonts w:hint="eastAsia" w:ascii="仿宋_GB2312" w:hAnsi="仿宋_GB2312" w:eastAsia="仿宋_GB2312" w:cs="仿宋_GB2312"/>
          <w:color w:val="auto"/>
          <w:spacing w:val="-5"/>
          <w:sz w:val="32"/>
          <w:szCs w:val="32"/>
          <w:vertAlign w:val="superscript"/>
          <w:lang w:val="en-US" w:eastAsia="zh-CN"/>
        </w:rPr>
        <w:t>3</w:t>
      </w:r>
      <w:r>
        <w:rPr>
          <w:rFonts w:hint="eastAsia" w:ascii="仿宋_GB2312" w:hAnsi="仿宋_GB2312" w:eastAsia="仿宋_GB2312" w:cs="仿宋_GB2312"/>
          <w:color w:val="auto"/>
          <w:spacing w:val="-5"/>
          <w:sz w:val="32"/>
          <w:szCs w:val="32"/>
          <w:lang w:val="en-US" w:eastAsia="zh-CN"/>
        </w:rPr>
        <w:t>/d，</w:t>
      </w:r>
      <w:r>
        <w:rPr>
          <w:rFonts w:hint="eastAsia" w:ascii="仿宋_GB2312" w:hAnsi="仿宋_GB2312" w:eastAsia="仿宋_GB2312" w:cs="仿宋_GB2312"/>
          <w:color w:val="auto"/>
          <w:sz w:val="32"/>
          <w:szCs w:val="32"/>
          <w:lang w:val="en-US" w:eastAsia="zh-CN"/>
        </w:rPr>
        <w:t>COD平均值 &lt;500mg/L、 B/C&lt;0.3、总氮&lt;60 mg/L 、氨氮&lt;45mg/L 、总磷&lt;1mg/L、TDS&lt;3000mg/L</w:t>
      </w:r>
    </w:p>
    <w:p>
      <w:pPr>
        <w:pStyle w:val="2"/>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④出水必须达到下表要求：</w:t>
      </w:r>
    </w:p>
    <w:tbl>
      <w:tblPr>
        <w:tblStyle w:val="6"/>
        <w:tblW w:w="501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8"/>
        <w:gridCol w:w="2075"/>
        <w:gridCol w:w="1274"/>
        <w:gridCol w:w="607"/>
        <w:gridCol w:w="2479"/>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5000" w:type="pct"/>
            <w:gridSpan w:val="6"/>
            <w:tcBorders>
              <w:top w:val="single" w:color="auto" w:sz="4" w:space="0"/>
            </w:tcBorders>
            <w:noWrap w:val="0"/>
            <w:vAlign w:val="center"/>
          </w:tcPr>
          <w:p>
            <w:pPr>
              <w:spacing w:line="240" w:lineRule="auto"/>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基本控制项目最高允许排放浓度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367" w:type="pct"/>
            <w:noWrap w:val="0"/>
            <w:vAlign w:val="center"/>
          </w:tcPr>
          <w:p>
            <w:pPr>
              <w:pStyle w:val="2"/>
              <w:spacing w:line="240" w:lineRule="auto"/>
              <w:ind w:firstLine="0" w:firstLineChars="0"/>
              <w:rPr>
                <w:rFonts w:hint="eastAsia" w:ascii="仿宋" w:hAnsi="仿宋" w:eastAsia="仿宋" w:cs="仿宋"/>
                <w:b/>
                <w:bCs/>
                <w:sz w:val="24"/>
                <w:szCs w:val="24"/>
              </w:rPr>
            </w:pPr>
            <w:r>
              <w:rPr>
                <w:rFonts w:hint="eastAsia" w:ascii="仿宋" w:hAnsi="仿宋" w:eastAsia="仿宋" w:cs="仿宋"/>
                <w:b/>
                <w:bCs/>
                <w:sz w:val="24"/>
                <w:szCs w:val="24"/>
              </w:rPr>
              <w:t>序号</w:t>
            </w:r>
          </w:p>
        </w:tc>
        <w:tc>
          <w:tcPr>
            <w:tcW w:w="1213" w:type="pct"/>
            <w:noWrap w:val="0"/>
            <w:vAlign w:val="center"/>
          </w:tcPr>
          <w:p>
            <w:pPr>
              <w:pStyle w:val="2"/>
              <w:spacing w:line="240" w:lineRule="auto"/>
              <w:ind w:firstLine="0" w:firstLineChars="0"/>
              <w:rPr>
                <w:rFonts w:hint="eastAsia" w:ascii="仿宋" w:hAnsi="仿宋" w:eastAsia="仿宋" w:cs="仿宋"/>
                <w:b/>
                <w:bCs/>
                <w:sz w:val="24"/>
                <w:szCs w:val="24"/>
              </w:rPr>
            </w:pPr>
            <w:r>
              <w:rPr>
                <w:rFonts w:hint="eastAsia" w:ascii="仿宋" w:hAnsi="仿宋" w:eastAsia="仿宋" w:cs="仿宋"/>
                <w:b/>
                <w:bCs/>
                <w:sz w:val="24"/>
                <w:szCs w:val="24"/>
              </w:rPr>
              <w:t>检 测 项 目</w:t>
            </w:r>
          </w:p>
        </w:tc>
        <w:tc>
          <w:tcPr>
            <w:tcW w:w="745" w:type="pct"/>
            <w:noWrap w:val="0"/>
            <w:vAlign w:val="center"/>
          </w:tcPr>
          <w:p>
            <w:pPr>
              <w:pStyle w:val="2"/>
              <w:spacing w:line="240" w:lineRule="auto"/>
              <w:ind w:firstLine="0" w:firstLineChars="0"/>
              <w:rPr>
                <w:rFonts w:hint="eastAsia" w:ascii="仿宋" w:hAnsi="仿宋" w:eastAsia="仿宋" w:cs="仿宋"/>
                <w:b/>
                <w:bCs/>
                <w:sz w:val="24"/>
                <w:szCs w:val="24"/>
              </w:rPr>
            </w:pPr>
            <w:r>
              <w:rPr>
                <w:rFonts w:hint="eastAsia" w:ascii="仿宋" w:hAnsi="仿宋" w:eastAsia="仿宋" w:cs="仿宋"/>
                <w:b/>
                <w:bCs/>
                <w:sz w:val="24"/>
                <w:szCs w:val="24"/>
              </w:rPr>
              <w:t>标准值</w:t>
            </w:r>
          </w:p>
        </w:tc>
        <w:tc>
          <w:tcPr>
            <w:tcW w:w="355" w:type="pct"/>
            <w:noWrap w:val="0"/>
            <w:vAlign w:val="center"/>
          </w:tcPr>
          <w:p>
            <w:pPr>
              <w:pStyle w:val="2"/>
              <w:spacing w:line="240" w:lineRule="auto"/>
              <w:ind w:firstLine="0" w:firstLineChars="0"/>
              <w:rPr>
                <w:rFonts w:hint="eastAsia" w:ascii="仿宋" w:hAnsi="仿宋" w:eastAsia="仿宋" w:cs="仿宋"/>
                <w:b/>
                <w:bCs/>
                <w:sz w:val="24"/>
                <w:szCs w:val="24"/>
              </w:rPr>
            </w:pPr>
            <w:r>
              <w:rPr>
                <w:rFonts w:hint="eastAsia" w:ascii="仿宋" w:hAnsi="仿宋" w:eastAsia="仿宋" w:cs="仿宋"/>
                <w:b/>
                <w:bCs/>
                <w:sz w:val="24"/>
                <w:szCs w:val="24"/>
              </w:rPr>
              <w:t>序号</w:t>
            </w:r>
          </w:p>
        </w:tc>
        <w:tc>
          <w:tcPr>
            <w:tcW w:w="1449" w:type="pct"/>
            <w:noWrap w:val="0"/>
            <w:vAlign w:val="center"/>
          </w:tcPr>
          <w:p>
            <w:pPr>
              <w:pStyle w:val="2"/>
              <w:spacing w:line="240" w:lineRule="auto"/>
              <w:ind w:firstLine="0" w:firstLineChars="0"/>
              <w:rPr>
                <w:rFonts w:hint="eastAsia" w:ascii="仿宋" w:hAnsi="仿宋" w:eastAsia="仿宋" w:cs="仿宋"/>
                <w:b/>
                <w:bCs/>
                <w:sz w:val="24"/>
                <w:szCs w:val="24"/>
              </w:rPr>
            </w:pPr>
            <w:r>
              <w:rPr>
                <w:rFonts w:hint="eastAsia" w:ascii="仿宋" w:hAnsi="仿宋" w:eastAsia="仿宋" w:cs="仿宋"/>
                <w:b/>
                <w:bCs/>
                <w:sz w:val="24"/>
                <w:szCs w:val="24"/>
              </w:rPr>
              <w:t>检 测 项 目</w:t>
            </w:r>
          </w:p>
        </w:tc>
        <w:tc>
          <w:tcPr>
            <w:tcW w:w="868" w:type="pct"/>
            <w:noWrap w:val="0"/>
            <w:vAlign w:val="center"/>
          </w:tcPr>
          <w:p>
            <w:pPr>
              <w:pStyle w:val="2"/>
              <w:spacing w:line="240" w:lineRule="auto"/>
              <w:ind w:firstLine="0" w:firstLineChars="0"/>
              <w:rPr>
                <w:rFonts w:hint="eastAsia" w:ascii="仿宋" w:hAnsi="仿宋" w:eastAsia="仿宋" w:cs="仿宋"/>
                <w:b/>
                <w:bCs/>
                <w:sz w:val="24"/>
                <w:szCs w:val="24"/>
              </w:rPr>
            </w:pPr>
            <w:r>
              <w:rPr>
                <w:rFonts w:hint="eastAsia" w:ascii="仿宋" w:hAnsi="仿宋" w:eastAsia="仿宋" w:cs="仿宋"/>
                <w:b/>
                <w:bCs/>
                <w:sz w:val="24"/>
                <w:szCs w:val="24"/>
              </w:rPr>
              <w:t>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367"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1</w:t>
            </w:r>
          </w:p>
        </w:tc>
        <w:tc>
          <w:tcPr>
            <w:tcW w:w="1213"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化学需氧量(CODcr)</w:t>
            </w:r>
          </w:p>
        </w:tc>
        <w:tc>
          <w:tcPr>
            <w:tcW w:w="745"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≤50mg/L</w:t>
            </w:r>
          </w:p>
        </w:tc>
        <w:tc>
          <w:tcPr>
            <w:tcW w:w="355"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10</w:t>
            </w:r>
          </w:p>
        </w:tc>
        <w:tc>
          <w:tcPr>
            <w:tcW w:w="1449"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总有机碳</w:t>
            </w:r>
          </w:p>
        </w:tc>
        <w:tc>
          <w:tcPr>
            <w:tcW w:w="868"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≤35mg/L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367"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2</w:t>
            </w:r>
          </w:p>
        </w:tc>
        <w:tc>
          <w:tcPr>
            <w:tcW w:w="1213"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五日生化需氧量(BOD5)</w:t>
            </w:r>
          </w:p>
        </w:tc>
        <w:tc>
          <w:tcPr>
            <w:tcW w:w="745"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≤10mg/L</w:t>
            </w:r>
          </w:p>
        </w:tc>
        <w:tc>
          <w:tcPr>
            <w:tcW w:w="355"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11</w:t>
            </w:r>
          </w:p>
        </w:tc>
        <w:tc>
          <w:tcPr>
            <w:tcW w:w="1449"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急性毒性（HgCl2毒性当量）</w:t>
            </w:r>
          </w:p>
        </w:tc>
        <w:tc>
          <w:tcPr>
            <w:tcW w:w="868"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367"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3</w:t>
            </w:r>
          </w:p>
        </w:tc>
        <w:tc>
          <w:tcPr>
            <w:tcW w:w="1213"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悬浮物(SS)</w:t>
            </w:r>
          </w:p>
        </w:tc>
        <w:tc>
          <w:tcPr>
            <w:tcW w:w="745"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≤10mg/L</w:t>
            </w:r>
          </w:p>
        </w:tc>
        <w:tc>
          <w:tcPr>
            <w:tcW w:w="355"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12</w:t>
            </w:r>
          </w:p>
        </w:tc>
        <w:tc>
          <w:tcPr>
            <w:tcW w:w="1449"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总氰化物</w:t>
            </w:r>
          </w:p>
        </w:tc>
        <w:tc>
          <w:tcPr>
            <w:tcW w:w="868"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367"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4</w:t>
            </w:r>
          </w:p>
        </w:tc>
        <w:tc>
          <w:tcPr>
            <w:tcW w:w="1213"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动植物油</w:t>
            </w:r>
          </w:p>
        </w:tc>
        <w:tc>
          <w:tcPr>
            <w:tcW w:w="745"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≤1mg/L</w:t>
            </w:r>
          </w:p>
        </w:tc>
        <w:tc>
          <w:tcPr>
            <w:tcW w:w="355"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13</w:t>
            </w:r>
          </w:p>
        </w:tc>
        <w:tc>
          <w:tcPr>
            <w:tcW w:w="1449"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硫化物</w:t>
            </w:r>
          </w:p>
        </w:tc>
        <w:tc>
          <w:tcPr>
            <w:tcW w:w="868"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≤1mg/L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367"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5</w:t>
            </w:r>
          </w:p>
        </w:tc>
        <w:tc>
          <w:tcPr>
            <w:tcW w:w="1213"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总氮</w:t>
            </w:r>
          </w:p>
        </w:tc>
        <w:tc>
          <w:tcPr>
            <w:tcW w:w="745"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≤15mg/L</w:t>
            </w:r>
          </w:p>
        </w:tc>
        <w:tc>
          <w:tcPr>
            <w:tcW w:w="355"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14</w:t>
            </w:r>
          </w:p>
        </w:tc>
        <w:tc>
          <w:tcPr>
            <w:tcW w:w="1449"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硝基苯类</w:t>
            </w:r>
          </w:p>
        </w:tc>
        <w:tc>
          <w:tcPr>
            <w:tcW w:w="868"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≤2mg/L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367"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6</w:t>
            </w:r>
          </w:p>
        </w:tc>
        <w:tc>
          <w:tcPr>
            <w:tcW w:w="1213"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氨氮（NH3—N）</w:t>
            </w:r>
          </w:p>
        </w:tc>
        <w:tc>
          <w:tcPr>
            <w:tcW w:w="745"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≤5（8）mg/L</w:t>
            </w:r>
          </w:p>
        </w:tc>
        <w:tc>
          <w:tcPr>
            <w:tcW w:w="355"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15</w:t>
            </w:r>
          </w:p>
        </w:tc>
        <w:tc>
          <w:tcPr>
            <w:tcW w:w="1449"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苯胺类</w:t>
            </w:r>
          </w:p>
        </w:tc>
        <w:tc>
          <w:tcPr>
            <w:tcW w:w="868"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≤2mg/L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367"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7</w:t>
            </w:r>
          </w:p>
        </w:tc>
        <w:tc>
          <w:tcPr>
            <w:tcW w:w="1213"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总磷</w:t>
            </w:r>
          </w:p>
        </w:tc>
        <w:tc>
          <w:tcPr>
            <w:tcW w:w="745"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≤0.5mg/L</w:t>
            </w:r>
          </w:p>
        </w:tc>
        <w:tc>
          <w:tcPr>
            <w:tcW w:w="355"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16</w:t>
            </w:r>
          </w:p>
        </w:tc>
        <w:tc>
          <w:tcPr>
            <w:tcW w:w="1449"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二氯甲烷</w:t>
            </w:r>
          </w:p>
        </w:tc>
        <w:tc>
          <w:tcPr>
            <w:tcW w:w="868"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≤0.3mg/L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367"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8</w:t>
            </w:r>
          </w:p>
        </w:tc>
        <w:tc>
          <w:tcPr>
            <w:tcW w:w="1213"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色度(稀释倍数)</w:t>
            </w:r>
          </w:p>
        </w:tc>
        <w:tc>
          <w:tcPr>
            <w:tcW w:w="745"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≤30倍</w:t>
            </w:r>
          </w:p>
        </w:tc>
        <w:tc>
          <w:tcPr>
            <w:tcW w:w="355"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17</w:t>
            </w:r>
          </w:p>
        </w:tc>
        <w:tc>
          <w:tcPr>
            <w:tcW w:w="1449"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甲苯</w:t>
            </w:r>
          </w:p>
        </w:tc>
        <w:tc>
          <w:tcPr>
            <w:tcW w:w="868"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≤0.1mg/L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367"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9</w:t>
            </w:r>
          </w:p>
        </w:tc>
        <w:tc>
          <w:tcPr>
            <w:tcW w:w="1213"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PH值</w:t>
            </w:r>
          </w:p>
        </w:tc>
        <w:tc>
          <w:tcPr>
            <w:tcW w:w="745"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6～9</w:t>
            </w:r>
          </w:p>
        </w:tc>
        <w:tc>
          <w:tcPr>
            <w:tcW w:w="355"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w:t>
            </w:r>
          </w:p>
        </w:tc>
        <w:tc>
          <w:tcPr>
            <w:tcW w:w="1449"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w:t>
            </w:r>
          </w:p>
        </w:tc>
        <w:tc>
          <w:tcPr>
            <w:tcW w:w="868" w:type="pct"/>
            <w:noWrap w:val="0"/>
            <w:vAlign w:val="center"/>
          </w:tcPr>
          <w:p>
            <w:pPr>
              <w:pStyle w:val="2"/>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w:t>
            </w:r>
          </w:p>
        </w:tc>
      </w:tr>
    </w:tbl>
    <w:p>
      <w:pPr>
        <w:pStyle w:val="2"/>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default"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24" w:firstLineChars="200"/>
        <w:jc w:val="left"/>
        <w:textAlignment w:val="auto"/>
        <w:rPr>
          <w:rFonts w:hint="eastAsia" w:ascii="仿宋_GB2312" w:hAnsi="仿宋_GB2312" w:eastAsia="仿宋_GB2312" w:cs="仿宋_GB2312"/>
          <w:color w:val="auto"/>
          <w:spacing w:val="-4"/>
          <w:kern w:val="2"/>
          <w:sz w:val="32"/>
          <w:szCs w:val="32"/>
          <w:lang w:val="en-US" w:eastAsia="zh-CN" w:bidi="ar-SA"/>
        </w:rPr>
      </w:pPr>
      <w:r>
        <w:rPr>
          <w:rFonts w:hint="eastAsia" w:ascii="仿宋_GB2312" w:hAnsi="仿宋_GB2312" w:eastAsia="仿宋_GB2312" w:cs="仿宋_GB2312"/>
          <w:color w:val="auto"/>
          <w:spacing w:val="-4"/>
          <w:kern w:val="2"/>
          <w:sz w:val="32"/>
          <w:szCs w:val="32"/>
          <w:lang w:val="en-US" w:eastAsia="zh-CN" w:bidi="ar-SA"/>
        </w:rPr>
        <w:t>7）用量：总用量4000kg。</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Chars="200" w:right="0" w:rightChars="0"/>
        <w:jc w:val="left"/>
        <w:textAlignment w:val="auto"/>
        <w:rPr>
          <w:rFonts w:hint="eastAsia" w:ascii="仿宋_GB2312" w:hAnsi="仿宋_GB2312" w:eastAsia="仿宋_GB2312" w:cs="仿宋_GB2312"/>
          <w:color w:val="auto"/>
          <w:spacing w:val="-4"/>
          <w:sz w:val="32"/>
          <w:szCs w:val="32"/>
          <w:lang w:val="en-US" w:eastAsia="zh-CN"/>
        </w:rPr>
      </w:pPr>
      <w:r>
        <w:rPr>
          <w:rFonts w:hint="eastAsia" w:ascii="仿宋_GB2312" w:hAnsi="仿宋_GB2312" w:eastAsia="仿宋_GB2312" w:cs="仿宋_GB2312"/>
          <w:color w:val="auto"/>
          <w:spacing w:val="-4"/>
          <w:sz w:val="32"/>
          <w:szCs w:val="32"/>
          <w:lang w:val="en-US" w:eastAsia="zh-CN"/>
        </w:rPr>
        <w:t>8）伴随提供的技术服务要求：</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Chars="200" w:right="0" w:rightChars="0"/>
        <w:jc w:val="left"/>
        <w:textAlignment w:val="auto"/>
        <w:rPr>
          <w:rFonts w:hint="eastAsia" w:ascii="仿宋_GB2312" w:hAnsi="仿宋_GB2312" w:eastAsia="仿宋_GB2312" w:cs="仿宋_GB2312"/>
          <w:color w:val="auto"/>
          <w:spacing w:val="-4"/>
          <w:sz w:val="32"/>
          <w:szCs w:val="32"/>
          <w:lang w:val="en-US" w:eastAsia="zh-CN"/>
        </w:rPr>
      </w:pPr>
      <w:r>
        <w:rPr>
          <w:rFonts w:hint="eastAsia" w:ascii="仿宋_GB2312" w:hAnsi="仿宋_GB2312" w:eastAsia="仿宋_GB2312" w:cs="仿宋_GB2312"/>
          <w:color w:val="auto"/>
          <w:spacing w:val="-4"/>
          <w:sz w:val="32"/>
          <w:szCs w:val="32"/>
          <w:lang w:val="en-US" w:eastAsia="zh-CN"/>
        </w:rPr>
        <w:t>①自行对废水进行适应性实验；</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Chars="200" w:right="0" w:rightChars="0"/>
        <w:jc w:val="left"/>
        <w:textAlignment w:val="auto"/>
        <w:rPr>
          <w:rFonts w:hint="eastAsia" w:ascii="仿宋_GB2312" w:hAnsi="仿宋_GB2312" w:eastAsia="仿宋_GB2312" w:cs="仿宋_GB2312"/>
          <w:color w:val="auto"/>
          <w:spacing w:val="-4"/>
          <w:sz w:val="32"/>
          <w:szCs w:val="32"/>
          <w:lang w:val="en-US" w:eastAsia="zh-CN"/>
        </w:rPr>
      </w:pPr>
      <w:r>
        <w:rPr>
          <w:rFonts w:hint="eastAsia" w:ascii="仿宋_GB2312" w:hAnsi="仿宋_GB2312" w:eastAsia="仿宋_GB2312" w:cs="仿宋_GB2312"/>
          <w:color w:val="auto"/>
          <w:spacing w:val="-4"/>
          <w:sz w:val="32"/>
          <w:szCs w:val="32"/>
          <w:lang w:val="en-US" w:eastAsia="zh-CN"/>
        </w:rPr>
        <w:t>②在正式接种前完成扩大化培养驯化；</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Chars="200" w:right="0" w:rightChars="0"/>
        <w:jc w:val="left"/>
        <w:textAlignment w:val="auto"/>
        <w:rPr>
          <w:rFonts w:hint="eastAsia" w:ascii="仿宋_GB2312" w:hAnsi="仿宋_GB2312" w:eastAsia="仿宋_GB2312" w:cs="仿宋_GB2312"/>
          <w:color w:val="auto"/>
          <w:spacing w:val="-4"/>
          <w:sz w:val="32"/>
          <w:szCs w:val="32"/>
          <w:lang w:val="en-US" w:eastAsia="zh-CN"/>
        </w:rPr>
      </w:pPr>
      <w:r>
        <w:rPr>
          <w:rFonts w:hint="eastAsia" w:ascii="仿宋_GB2312" w:hAnsi="仿宋_GB2312" w:eastAsia="仿宋_GB2312" w:cs="仿宋_GB2312"/>
          <w:color w:val="auto"/>
          <w:spacing w:val="-4"/>
          <w:sz w:val="32"/>
          <w:szCs w:val="32"/>
          <w:lang w:val="en-US" w:eastAsia="zh-CN"/>
        </w:rPr>
        <w:t>③提供A/O好氧池启动运行方案、培训甲方操作人员并完成A/O好氧池及MBBR池的调试启动。</w:t>
      </w:r>
    </w:p>
    <w:p>
      <w:pPr>
        <w:pStyle w:val="2"/>
        <w:keepNext w:val="0"/>
        <w:keepLines w:val="0"/>
        <w:pageBreakBefore w:val="0"/>
        <w:widowControl w:val="0"/>
        <w:kinsoku/>
        <w:wordWrap/>
        <w:overflowPunct/>
        <w:topLinePunct w:val="0"/>
        <w:autoSpaceDE/>
        <w:autoSpaceDN/>
        <w:bidi w:val="0"/>
        <w:adjustRightInd w:val="0"/>
        <w:snapToGrid w:val="0"/>
        <w:spacing w:line="520" w:lineRule="exact"/>
        <w:ind w:right="0" w:firstLine="624" w:firstLineChars="200"/>
        <w:jc w:val="left"/>
        <w:textAlignment w:val="auto"/>
        <w:rPr>
          <w:rFonts w:hint="eastAsia" w:ascii="仿宋_GB2312" w:hAnsi="仿宋_GB2312" w:eastAsia="仿宋_GB2312" w:cs="仿宋_GB2312"/>
          <w:color w:val="auto"/>
          <w:spacing w:val="-10"/>
          <w:sz w:val="32"/>
          <w:szCs w:val="32"/>
        </w:rPr>
      </w:pPr>
      <w:r>
        <w:rPr>
          <w:rFonts w:hint="eastAsia" w:ascii="仿宋_GB2312" w:hAnsi="仿宋_GB2312" w:eastAsia="仿宋_GB2312" w:cs="仿宋_GB2312"/>
          <w:color w:val="auto"/>
          <w:spacing w:val="-4"/>
          <w:sz w:val="32"/>
          <w:szCs w:val="32"/>
          <w:lang w:val="en-US" w:eastAsia="zh-CN"/>
        </w:rPr>
        <w:t>④要求在规定时间内</w:t>
      </w:r>
      <w:r>
        <w:rPr>
          <w:rFonts w:hint="eastAsia" w:ascii="仿宋_GB2312" w:hAnsi="仿宋_GB2312" w:eastAsia="仿宋_GB2312" w:cs="仿宋_GB2312"/>
          <w:color w:val="auto"/>
          <w:spacing w:val="-4"/>
          <w:sz w:val="32"/>
          <w:szCs w:val="32"/>
        </w:rPr>
        <w:t>快速增加系统中微生物含量，提高生物活性</w:t>
      </w:r>
      <w:r>
        <w:rPr>
          <w:rFonts w:hint="eastAsia" w:ascii="仿宋_GB2312" w:hAnsi="仿宋_GB2312" w:eastAsia="仿宋_GB2312" w:cs="仿宋_GB2312"/>
          <w:color w:val="auto"/>
          <w:spacing w:val="-4"/>
          <w:sz w:val="32"/>
          <w:szCs w:val="32"/>
          <w:lang w:eastAsia="zh-CN"/>
        </w:rPr>
        <w:t>、</w:t>
      </w:r>
      <w:r>
        <w:rPr>
          <w:rFonts w:hint="eastAsia" w:ascii="仿宋_GB2312" w:hAnsi="仿宋_GB2312" w:eastAsia="仿宋_GB2312" w:cs="仿宋_GB2312"/>
          <w:color w:val="auto"/>
          <w:spacing w:val="-5"/>
          <w:sz w:val="32"/>
          <w:szCs w:val="32"/>
        </w:rPr>
        <w:t xml:space="preserve"> 改善污泥沉降性能、减少厌氧池泡泥</w:t>
      </w:r>
      <w:r>
        <w:rPr>
          <w:rFonts w:hint="eastAsia" w:ascii="仿宋_GB2312" w:hAnsi="仿宋_GB2312" w:eastAsia="仿宋_GB2312" w:cs="仿宋_GB2312"/>
          <w:color w:val="auto"/>
          <w:spacing w:val="-5"/>
          <w:sz w:val="32"/>
          <w:szCs w:val="32"/>
          <w:lang w:eastAsia="zh-CN"/>
        </w:rPr>
        <w:t>、</w:t>
      </w:r>
      <w:r>
        <w:rPr>
          <w:rFonts w:hint="eastAsia" w:ascii="仿宋_GB2312" w:hAnsi="仿宋_GB2312" w:eastAsia="仿宋_GB2312" w:cs="仿宋_GB2312"/>
          <w:color w:val="auto"/>
          <w:spacing w:val="-6"/>
          <w:sz w:val="32"/>
          <w:szCs w:val="32"/>
        </w:rPr>
        <w:t>提高</w:t>
      </w:r>
      <w:r>
        <w:rPr>
          <w:rFonts w:hint="eastAsia" w:ascii="仿宋_GB2312" w:hAnsi="仿宋_GB2312" w:eastAsia="仿宋_GB2312" w:cs="仿宋_GB2312"/>
          <w:color w:val="auto"/>
          <w:spacing w:val="-40"/>
          <w:sz w:val="32"/>
          <w:szCs w:val="32"/>
        </w:rPr>
        <w:t xml:space="preserve"> </w:t>
      </w:r>
      <w:r>
        <w:rPr>
          <w:rFonts w:hint="eastAsia" w:ascii="仿宋_GB2312" w:hAnsi="仿宋_GB2312" w:eastAsia="仿宋_GB2312" w:cs="仿宋_GB2312"/>
          <w:color w:val="auto"/>
          <w:spacing w:val="-6"/>
          <w:sz w:val="32"/>
          <w:szCs w:val="32"/>
        </w:rPr>
        <w:t>BOD</w:t>
      </w:r>
      <w:r>
        <w:rPr>
          <w:rFonts w:hint="eastAsia" w:ascii="仿宋_GB2312" w:hAnsi="仿宋_GB2312" w:eastAsia="仿宋_GB2312" w:cs="仿宋_GB2312"/>
          <w:color w:val="auto"/>
          <w:spacing w:val="-44"/>
          <w:sz w:val="32"/>
          <w:szCs w:val="32"/>
        </w:rPr>
        <w:t xml:space="preserve"> </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53"/>
          <w:sz w:val="32"/>
          <w:szCs w:val="32"/>
        </w:rPr>
        <w:t xml:space="preserve"> </w:t>
      </w:r>
      <w:r>
        <w:rPr>
          <w:rFonts w:hint="eastAsia" w:ascii="仿宋_GB2312" w:hAnsi="仿宋_GB2312" w:eastAsia="仿宋_GB2312" w:cs="仿宋_GB2312"/>
          <w:color w:val="auto"/>
          <w:spacing w:val="-6"/>
          <w:sz w:val="32"/>
          <w:szCs w:val="32"/>
        </w:rPr>
        <w:t>COD</w:t>
      </w:r>
      <w:r>
        <w:rPr>
          <w:rFonts w:hint="eastAsia" w:ascii="仿宋_GB2312" w:hAnsi="仿宋_GB2312" w:eastAsia="仿宋_GB2312" w:cs="仿宋_GB2312"/>
          <w:color w:val="auto"/>
          <w:spacing w:val="-30"/>
          <w:sz w:val="32"/>
          <w:szCs w:val="32"/>
        </w:rPr>
        <w:t xml:space="preserve"> </w:t>
      </w:r>
      <w:r>
        <w:rPr>
          <w:rFonts w:hint="eastAsia" w:ascii="仿宋_GB2312" w:hAnsi="仿宋_GB2312" w:eastAsia="仿宋_GB2312" w:cs="仿宋_GB2312"/>
          <w:color w:val="auto"/>
          <w:spacing w:val="-30"/>
          <w:sz w:val="32"/>
          <w:szCs w:val="32"/>
          <w:lang w:eastAsia="zh-CN"/>
        </w:rPr>
        <w:t>、</w:t>
      </w:r>
      <w:r>
        <w:rPr>
          <w:rFonts w:hint="eastAsia" w:ascii="仿宋_GB2312" w:hAnsi="仿宋_GB2312" w:eastAsia="仿宋_GB2312" w:cs="仿宋_GB2312"/>
          <w:color w:val="auto"/>
          <w:spacing w:val="-30"/>
          <w:sz w:val="32"/>
          <w:szCs w:val="32"/>
          <w:lang w:val="en-US" w:eastAsia="zh-CN"/>
        </w:rPr>
        <w:t>总氮和氨氮</w:t>
      </w:r>
      <w:r>
        <w:rPr>
          <w:rFonts w:hint="eastAsia" w:ascii="仿宋_GB2312" w:hAnsi="仿宋_GB2312" w:eastAsia="仿宋_GB2312" w:cs="仿宋_GB2312"/>
          <w:color w:val="auto"/>
          <w:spacing w:val="-6"/>
          <w:sz w:val="32"/>
          <w:szCs w:val="32"/>
        </w:rPr>
        <w:t>的去除效率</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3"/>
          <w:sz w:val="32"/>
          <w:szCs w:val="32"/>
        </w:rPr>
        <w:t xml:space="preserve"> 快速恢复受有毒物质或负荷冲击后处理效率低下的</w:t>
      </w:r>
      <w:r>
        <w:rPr>
          <w:rFonts w:hint="eastAsia" w:ascii="仿宋_GB2312" w:hAnsi="仿宋_GB2312" w:eastAsia="仿宋_GB2312" w:cs="仿宋_GB2312"/>
          <w:color w:val="auto"/>
          <w:spacing w:val="-4"/>
          <w:sz w:val="32"/>
          <w:szCs w:val="32"/>
          <w:lang w:val="en-US" w:eastAsia="zh-CN"/>
        </w:rPr>
        <w:t>A/O好氧</w:t>
      </w:r>
      <w:r>
        <w:rPr>
          <w:rFonts w:hint="eastAsia" w:ascii="仿宋_GB2312" w:hAnsi="仿宋_GB2312" w:eastAsia="仿宋_GB2312" w:cs="仿宋_GB2312"/>
          <w:color w:val="auto"/>
          <w:spacing w:val="-3"/>
          <w:sz w:val="32"/>
          <w:szCs w:val="32"/>
        </w:rPr>
        <w:t>系统</w:t>
      </w:r>
      <w:r>
        <w:rPr>
          <w:rFonts w:hint="eastAsia" w:ascii="仿宋_GB2312" w:hAnsi="仿宋_GB2312" w:eastAsia="仿宋_GB2312" w:cs="仿宋_GB2312"/>
          <w:color w:val="auto"/>
          <w:spacing w:val="-3"/>
          <w:sz w:val="32"/>
          <w:szCs w:val="32"/>
          <w:lang w:eastAsia="zh-CN"/>
        </w:rPr>
        <w:t>、</w:t>
      </w:r>
      <w:r>
        <w:rPr>
          <w:rFonts w:hint="eastAsia" w:ascii="仿宋_GB2312" w:hAnsi="仿宋_GB2312" w:eastAsia="仿宋_GB2312" w:cs="仿宋_GB2312"/>
          <w:color w:val="auto"/>
          <w:spacing w:val="-10"/>
          <w:sz w:val="32"/>
          <w:szCs w:val="32"/>
          <w:lang w:val="en-US" w:eastAsia="zh-CN"/>
        </w:rPr>
        <w:t>抑制和减少丝状菌的繁殖</w:t>
      </w:r>
      <w:r>
        <w:rPr>
          <w:rFonts w:hint="eastAsia" w:ascii="仿宋_GB2312" w:hAnsi="仿宋_GB2312" w:eastAsia="仿宋_GB2312" w:cs="仿宋_GB2312"/>
          <w:color w:val="auto"/>
          <w:spacing w:val="-10"/>
          <w:sz w:val="32"/>
          <w:szCs w:val="32"/>
        </w:rPr>
        <w:t>。</w:t>
      </w:r>
    </w:p>
    <w:p>
      <w:pPr>
        <w:pStyle w:val="2"/>
        <w:keepNext w:val="0"/>
        <w:keepLines w:val="0"/>
        <w:pageBreakBefore w:val="0"/>
        <w:widowControl w:val="0"/>
        <w:kinsoku/>
        <w:wordWrap/>
        <w:overflowPunct/>
        <w:topLinePunct w:val="0"/>
        <w:autoSpaceDE/>
        <w:autoSpaceDN/>
        <w:bidi w:val="0"/>
        <w:adjustRightInd w:val="0"/>
        <w:snapToGrid w:val="0"/>
        <w:spacing w:line="520" w:lineRule="exact"/>
        <w:ind w:right="0" w:firstLine="600" w:firstLineChars="200"/>
        <w:jc w:val="left"/>
        <w:textAlignment w:val="auto"/>
        <w:rPr>
          <w:rFonts w:hint="eastAsia" w:ascii="仿宋_GB2312" w:hAnsi="仿宋_GB2312" w:eastAsia="仿宋_GB2312" w:cs="仿宋_GB2312"/>
          <w:color w:val="auto"/>
          <w:spacing w:val="-10"/>
          <w:sz w:val="32"/>
          <w:szCs w:val="32"/>
          <w:lang w:eastAsia="zh-CN"/>
        </w:rPr>
      </w:pPr>
      <w:r>
        <w:rPr>
          <w:rFonts w:hint="eastAsia" w:ascii="仿宋_GB2312" w:hAnsi="仿宋_GB2312" w:eastAsia="仿宋_GB2312" w:cs="仿宋_GB2312"/>
          <w:color w:val="auto"/>
          <w:spacing w:val="-10"/>
          <w:sz w:val="32"/>
          <w:szCs w:val="32"/>
        </w:rPr>
        <w:t>⑤</w:t>
      </w:r>
      <w:r>
        <w:rPr>
          <w:rFonts w:hint="eastAsia" w:ascii="仿宋_GB2312" w:hAnsi="仿宋_GB2312" w:eastAsia="仿宋_GB2312" w:cs="仿宋_GB2312"/>
          <w:color w:val="auto"/>
          <w:spacing w:val="-10"/>
          <w:sz w:val="32"/>
          <w:szCs w:val="32"/>
          <w:lang w:eastAsia="zh-CN"/>
        </w:rPr>
        <w:t>必须确保拟处理污水实现达标排放。</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right="0" w:rightChars="0"/>
        <w:jc w:val="left"/>
        <w:textAlignment w:val="auto"/>
        <w:rPr>
          <w:rFonts w:hint="eastAsia" w:ascii="仿宋_GB2312" w:hAnsi="仿宋_GB2312" w:eastAsia="仿宋_GB2312" w:cs="仿宋_GB2312"/>
          <w:color w:val="auto"/>
          <w:spacing w:val="-2"/>
          <w:position w:val="11"/>
          <w:sz w:val="32"/>
          <w:szCs w:val="32"/>
          <w:vertAlign w:val="baseline"/>
          <w:lang w:val="en-US" w:eastAsia="zh-CN"/>
        </w:rPr>
      </w:pPr>
      <w:r>
        <w:rPr>
          <w:rFonts w:hint="eastAsia" w:ascii="仿宋_GB2312" w:hAnsi="仿宋_GB2312" w:eastAsia="仿宋_GB2312" w:cs="仿宋_GB2312"/>
          <w:color w:val="auto"/>
          <w:spacing w:val="-2"/>
          <w:position w:val="11"/>
          <w:sz w:val="32"/>
          <w:szCs w:val="32"/>
          <w:vertAlign w:val="baseline"/>
          <w:lang w:val="en-US" w:eastAsia="zh-CN"/>
        </w:rPr>
        <w:t>　　9）配套提供包含但不限于：</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Chars="200" w:right="0" w:rightChars="0"/>
        <w:jc w:val="left"/>
        <w:textAlignment w:val="auto"/>
        <w:rPr>
          <w:rFonts w:hint="eastAsia" w:ascii="仿宋_GB2312" w:hAnsi="仿宋_GB2312" w:eastAsia="仿宋_GB2312" w:cs="仿宋_GB2312"/>
          <w:color w:val="auto"/>
          <w:spacing w:val="-2"/>
          <w:position w:val="11"/>
          <w:sz w:val="32"/>
          <w:szCs w:val="32"/>
          <w:vertAlign w:val="baseline"/>
          <w:lang w:val="en-US" w:eastAsia="zh-CN"/>
        </w:rPr>
      </w:pPr>
      <w:r>
        <w:rPr>
          <w:rFonts w:hint="eastAsia" w:ascii="仿宋_GB2312" w:hAnsi="仿宋_GB2312" w:eastAsia="仿宋_GB2312" w:cs="仿宋_GB2312"/>
          <w:color w:val="auto"/>
          <w:spacing w:val="-2"/>
          <w:position w:val="11"/>
          <w:sz w:val="32"/>
          <w:szCs w:val="32"/>
          <w:vertAlign w:val="baseline"/>
          <w:lang w:val="en-US" w:eastAsia="zh-CN"/>
        </w:rPr>
        <w:t>①小试装置：不小于200L容器4个及曝气、搅拌装置；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Chars="200" w:right="0" w:rightChars="0"/>
        <w:jc w:val="left"/>
        <w:textAlignment w:val="auto"/>
        <w:rPr>
          <w:rFonts w:hint="eastAsia" w:ascii="仿宋_GB2312" w:hAnsi="仿宋_GB2312" w:eastAsia="仿宋_GB2312" w:cs="仿宋_GB2312"/>
          <w:color w:val="auto"/>
          <w:spacing w:val="-2"/>
          <w:position w:val="11"/>
          <w:sz w:val="32"/>
          <w:szCs w:val="32"/>
          <w:vertAlign w:val="baseline"/>
          <w:lang w:val="en-US" w:eastAsia="zh-CN"/>
        </w:rPr>
      </w:pPr>
      <w:r>
        <w:rPr>
          <w:rFonts w:hint="eastAsia" w:ascii="仿宋_GB2312" w:hAnsi="仿宋_GB2312" w:eastAsia="仿宋_GB2312" w:cs="仿宋_GB2312"/>
          <w:color w:val="auto"/>
          <w:spacing w:val="-2"/>
          <w:position w:val="11"/>
          <w:sz w:val="32"/>
          <w:szCs w:val="32"/>
          <w:vertAlign w:val="baseline"/>
          <w:lang w:val="en-US" w:eastAsia="zh-CN"/>
        </w:rPr>
        <w:t>②菌剂投加的设备、设施；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Chars="200" w:right="0" w:rightChars="0"/>
        <w:jc w:val="left"/>
        <w:textAlignment w:val="auto"/>
        <w:rPr>
          <w:rFonts w:hint="eastAsia" w:ascii="仿宋_GB2312" w:hAnsi="仿宋_GB2312" w:eastAsia="仿宋_GB2312" w:cs="仿宋_GB2312"/>
          <w:color w:val="auto"/>
          <w:spacing w:val="-2"/>
          <w:position w:val="11"/>
          <w:sz w:val="32"/>
          <w:szCs w:val="32"/>
          <w:vertAlign w:val="baseline"/>
          <w:lang w:val="en-US" w:eastAsia="zh-CN"/>
        </w:rPr>
      </w:pPr>
      <w:r>
        <w:rPr>
          <w:rFonts w:hint="eastAsia" w:ascii="仿宋_GB2312" w:hAnsi="仿宋_GB2312" w:eastAsia="仿宋_GB2312" w:cs="仿宋_GB2312"/>
          <w:color w:val="auto"/>
          <w:spacing w:val="-2"/>
          <w:position w:val="11"/>
          <w:sz w:val="32"/>
          <w:szCs w:val="32"/>
          <w:vertAlign w:val="baseline"/>
          <w:lang w:val="en-US" w:eastAsia="zh-CN"/>
        </w:rPr>
        <w:t>③予驯化培养及扩大培养所需的反应设备、设施；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Chars="200" w:right="0" w:rightChars="0"/>
        <w:jc w:val="left"/>
        <w:textAlignment w:val="auto"/>
        <w:rPr>
          <w:rFonts w:hint="eastAsia" w:ascii="仿宋_GB2312" w:hAnsi="仿宋_GB2312" w:eastAsia="仿宋_GB2312" w:cs="仿宋_GB2312"/>
          <w:color w:val="auto"/>
          <w:spacing w:val="-2"/>
          <w:position w:val="11"/>
          <w:sz w:val="32"/>
          <w:szCs w:val="32"/>
          <w:vertAlign w:val="baseline"/>
          <w:lang w:val="en-US" w:eastAsia="zh-CN"/>
        </w:rPr>
      </w:pPr>
      <w:r>
        <w:rPr>
          <w:rFonts w:hint="eastAsia" w:ascii="仿宋_GB2312" w:hAnsi="仿宋_GB2312" w:eastAsia="仿宋_GB2312" w:cs="仿宋_GB2312"/>
          <w:color w:val="auto"/>
          <w:spacing w:val="-2"/>
          <w:position w:val="11"/>
          <w:sz w:val="32"/>
          <w:szCs w:val="32"/>
          <w:vertAlign w:val="baseline"/>
          <w:lang w:val="en-US" w:eastAsia="zh-CN"/>
        </w:rPr>
        <w:t>④驻厂轮班运行人员不得少于4人，时间直至调试达标（暂估为5个月）。</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Chars="200" w:right="0" w:rightChars="0"/>
        <w:jc w:val="left"/>
        <w:textAlignment w:val="auto"/>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三、载体污泥</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right="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制药厂或精细化工厂或市政污水处理厂厌氧消化污泥，要求VSS≥65%，含水率65%-85%</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right="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数量：不少于</w:t>
      </w:r>
      <w:r>
        <w:rPr>
          <w:rFonts w:hint="eastAsia" w:ascii="仿宋_GB2312" w:hAnsi="仿宋_GB2312" w:eastAsia="仿宋_GB2312" w:cs="仿宋_GB2312"/>
          <w:color w:val="C00000"/>
          <w:sz w:val="32"/>
          <w:szCs w:val="32"/>
          <w:lang w:val="en-US" w:eastAsia="zh-CN"/>
        </w:rPr>
        <w:t>183</w:t>
      </w:r>
      <w:r>
        <w:rPr>
          <w:rFonts w:hint="eastAsia" w:ascii="仿宋_GB2312" w:hAnsi="仿宋_GB2312" w:eastAsia="仿宋_GB2312" w:cs="仿宋_GB2312"/>
          <w:color w:val="auto"/>
          <w:sz w:val="32"/>
          <w:szCs w:val="32"/>
          <w:lang w:val="en-US" w:eastAsia="zh-CN"/>
        </w:rPr>
        <w:t>吨</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right="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伴随服务包含但不限于:污泥的采购、运输、除渣、投加（含投加工器具和人员）。</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right="0" w:firstLine="560" w:firstLineChars="200"/>
        <w:jc w:val="left"/>
        <w:textAlignment w:val="auto"/>
        <w:rPr>
          <w:rFonts w:hint="eastAsia" w:ascii="仿宋" w:hAnsi="仿宋" w:eastAsia="仿宋" w:cs="仿宋"/>
          <w:sz w:val="28"/>
          <w:szCs w:val="28"/>
          <w:lang w:val="en-US" w:eastAsia="zh-CN"/>
        </w:rPr>
      </w:pPr>
    </w:p>
    <w:p>
      <w:pPr>
        <w:numPr>
          <w:ilvl w:val="0"/>
          <w:numId w:val="0"/>
        </w:numPr>
        <w:ind w:leftChars="0"/>
        <w:jc w:val="center"/>
        <w:rPr>
          <w:rFonts w:hint="eastAsia" w:ascii="仿宋_GB2312" w:hAnsi="仿宋_GB2312" w:eastAsia="仿宋_GB2312" w:cs="仿宋_GB2312"/>
          <w:spacing w:val="-4"/>
          <w:sz w:val="32"/>
          <w:szCs w:val="32"/>
          <w:lang w:val="en-US" w:eastAsia="zh-CN"/>
        </w:rPr>
      </w:pPr>
      <w:r>
        <w:rPr>
          <w:rFonts w:hint="eastAsia" w:ascii="仿宋_GB2312" w:hAnsi="仿宋_GB2312" w:eastAsia="仿宋_GB2312" w:cs="仿宋_GB2312"/>
          <w:spacing w:val="-4"/>
          <w:sz w:val="32"/>
          <w:szCs w:val="32"/>
          <w:lang w:val="en-US" w:eastAsia="zh-CN"/>
        </w:rPr>
        <w:t>　　　　　　　　　　2024年2月18日</w:t>
      </w:r>
    </w:p>
    <w:p>
      <w:pPr>
        <w:numPr>
          <w:ilvl w:val="0"/>
          <w:numId w:val="0"/>
        </w:numPr>
        <w:ind w:leftChars="0"/>
        <w:rPr>
          <w:rFonts w:hint="default"/>
          <w:spacing w:val="-4"/>
          <w:lang w:val="en-US" w:eastAsia="zh-CN"/>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2YWFjMzVkODYxYTRlMzAyY2I5MWM3NGQ1MWJjYzUifQ=="/>
  </w:docVars>
  <w:rsids>
    <w:rsidRoot w:val="4AB53B4F"/>
    <w:rsid w:val="05980631"/>
    <w:rsid w:val="0A357D9F"/>
    <w:rsid w:val="0D374B63"/>
    <w:rsid w:val="0DBB73CE"/>
    <w:rsid w:val="1055639C"/>
    <w:rsid w:val="16136C3B"/>
    <w:rsid w:val="17C23BE3"/>
    <w:rsid w:val="19BB0C6E"/>
    <w:rsid w:val="1F026649"/>
    <w:rsid w:val="23684232"/>
    <w:rsid w:val="2A5A25D6"/>
    <w:rsid w:val="2AD119B4"/>
    <w:rsid w:val="2BA411B4"/>
    <w:rsid w:val="31937445"/>
    <w:rsid w:val="331E5516"/>
    <w:rsid w:val="3385071B"/>
    <w:rsid w:val="360A620A"/>
    <w:rsid w:val="3D732C4E"/>
    <w:rsid w:val="4AB53B4F"/>
    <w:rsid w:val="4C75319D"/>
    <w:rsid w:val="4EEE441A"/>
    <w:rsid w:val="591841DB"/>
    <w:rsid w:val="5B1D774E"/>
    <w:rsid w:val="5D7E4A0C"/>
    <w:rsid w:val="5DDB6893"/>
    <w:rsid w:val="5EDC498F"/>
    <w:rsid w:val="63163DC6"/>
    <w:rsid w:val="65AE4402"/>
    <w:rsid w:val="66AA6BF1"/>
    <w:rsid w:val="67311FC6"/>
    <w:rsid w:val="67BA5C7C"/>
    <w:rsid w:val="699A75C4"/>
    <w:rsid w:val="69B81DBD"/>
    <w:rsid w:val="6F7A62F0"/>
    <w:rsid w:val="73402D06"/>
    <w:rsid w:val="73815910"/>
    <w:rsid w:val="73E62FB9"/>
    <w:rsid w:val="74217794"/>
    <w:rsid w:val="75B25848"/>
    <w:rsid w:val="770C71DA"/>
    <w:rsid w:val="7DB10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仿宋" w:hAnsi="仿宋" w:eastAsia="仿宋" w:cs="仿宋"/>
      <w:sz w:val="24"/>
      <w:szCs w:val="24"/>
      <w:lang w:val="en-US" w:eastAsia="en-US" w:bidi="ar-SA"/>
    </w:rPr>
  </w:style>
  <w:style w:type="paragraph" w:styleId="3">
    <w:name w:val="List 2"/>
    <w:basedOn w:val="1"/>
    <w:qFormat/>
    <w:uiPriority w:val="0"/>
    <w:pPr>
      <w:ind w:left="100" w:leftChars="200" w:hanging="200" w:hangingChars="200"/>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2024-01-10T07:58:00Z</dcterms:created>
  <dc:creator>代号</dc:creator>
  <cp:lastModifiedBy>念寒柒</cp:lastModifiedBy>
  <dcterms:modified xsi:type="dcterms:W3CDTF">2024-02-26T08:01:07Z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A2B532B154C741B995F2016D756CA57C_11</vt:lpwstr>
  </property>
</Properties>
</file>